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Tr="007E76DD">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B60605" w:rsidRDefault="007C4831" w:rsidP="002E44A2">
            <w:pPr>
              <w:rPr>
                <w:rFonts w:cstheme="minorHAnsi"/>
              </w:rPr>
            </w:pPr>
            <w:r>
              <w:rPr>
                <w:rFonts w:cstheme="minorHAnsi"/>
              </w:rPr>
              <w:t>201</w:t>
            </w:r>
            <w:r w:rsidR="002E44A2">
              <w:rPr>
                <w:rFonts w:cstheme="minorHAnsi"/>
              </w:rPr>
              <w:t>5-2016</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3870" w:type="dxa"/>
          </w:tcPr>
          <w:p w:rsidR="00D4493D" w:rsidRPr="00B60605" w:rsidRDefault="002E44A2" w:rsidP="007E76DD">
            <w:pPr>
              <w:rPr>
                <w:rFonts w:cstheme="minorHAnsi"/>
              </w:rPr>
            </w:pPr>
            <w:r>
              <w:rPr>
                <w:rFonts w:cstheme="minorHAnsi"/>
              </w:rPr>
              <w:t xml:space="preserve">Lorraine Arvizo </w:t>
            </w:r>
          </w:p>
        </w:tc>
      </w:tr>
      <w:tr w:rsidR="00F96537" w:rsidTr="007E76DD">
        <w:tc>
          <w:tcPr>
            <w:tcW w:w="1458" w:type="dxa"/>
            <w:shd w:val="clear" w:color="auto" w:fill="D9D9D9" w:themeFill="background1" w:themeFillShade="D9"/>
          </w:tcPr>
          <w:p w:rsidR="00F96537" w:rsidRPr="006067DE" w:rsidRDefault="00F96537" w:rsidP="00F96537">
            <w:pPr>
              <w:rPr>
                <w:b/>
                <w:sz w:val="20"/>
                <w:szCs w:val="20"/>
              </w:rPr>
            </w:pPr>
            <w:r w:rsidRPr="006067DE">
              <w:rPr>
                <w:b/>
                <w:sz w:val="20"/>
                <w:szCs w:val="20"/>
              </w:rPr>
              <w:t>Office</w:t>
            </w:r>
          </w:p>
        </w:tc>
        <w:tc>
          <w:tcPr>
            <w:tcW w:w="3060" w:type="dxa"/>
          </w:tcPr>
          <w:p w:rsidR="00F96537" w:rsidRPr="00B60605" w:rsidRDefault="002E44A2" w:rsidP="00F96537">
            <w:pPr>
              <w:rPr>
                <w:rFonts w:cstheme="minorHAnsi"/>
              </w:rPr>
            </w:pPr>
            <w:r>
              <w:rPr>
                <w:rFonts w:cstheme="minorHAnsi"/>
              </w:rPr>
              <w:t>Room 117</w:t>
            </w:r>
          </w:p>
        </w:tc>
        <w:tc>
          <w:tcPr>
            <w:tcW w:w="1620" w:type="dxa"/>
            <w:shd w:val="clear" w:color="auto" w:fill="D9D9D9" w:themeFill="background1" w:themeFillShade="D9"/>
          </w:tcPr>
          <w:p w:rsidR="00F96537" w:rsidRPr="00773B08" w:rsidRDefault="00F96537" w:rsidP="00F96537">
            <w:pPr>
              <w:rPr>
                <w:b/>
                <w:sz w:val="20"/>
                <w:szCs w:val="20"/>
              </w:rPr>
            </w:pPr>
            <w:r w:rsidRPr="00773B08">
              <w:rPr>
                <w:b/>
                <w:sz w:val="20"/>
                <w:szCs w:val="20"/>
              </w:rPr>
              <w:t>Website</w:t>
            </w:r>
          </w:p>
        </w:tc>
        <w:tc>
          <w:tcPr>
            <w:tcW w:w="3870" w:type="dxa"/>
          </w:tcPr>
          <w:p w:rsidR="00F96537" w:rsidRPr="001A3F89" w:rsidRDefault="002E44A2" w:rsidP="002E44A2">
            <w:pPr>
              <w:rPr>
                <w:rFonts w:eastAsia="Calibri" w:cs="Calibri"/>
              </w:rPr>
            </w:pPr>
            <w:hyperlink r:id="rId8" w:history="1">
              <w:r w:rsidRPr="00484B1A">
                <w:rPr>
                  <w:rStyle w:val="Hyperlink"/>
                  <w:rFonts w:eastAsia="Calibri" w:cs="Helvetica"/>
                  <w:shd w:val="clear" w:color="auto" w:fill="F7F7F7"/>
                </w:rPr>
                <w:t>http://arvizoenglish.weebly.com</w:t>
              </w:r>
            </w:hyperlink>
            <w:r w:rsidRPr="001A3F89">
              <w:rPr>
                <w:rFonts w:eastAsia="Calibri" w:cs="Calibri"/>
              </w:rPr>
              <w:t xml:space="preserve"> </w:t>
            </w:r>
          </w:p>
        </w:tc>
      </w:tr>
      <w:tr w:rsidR="00F96537" w:rsidTr="007E76DD">
        <w:tc>
          <w:tcPr>
            <w:tcW w:w="1458" w:type="dxa"/>
            <w:shd w:val="clear" w:color="auto" w:fill="D9D9D9" w:themeFill="background1" w:themeFillShade="D9"/>
          </w:tcPr>
          <w:p w:rsidR="00F96537" w:rsidRPr="006067DE" w:rsidRDefault="00F96537" w:rsidP="00F96537">
            <w:pPr>
              <w:rPr>
                <w:b/>
                <w:sz w:val="20"/>
                <w:szCs w:val="20"/>
              </w:rPr>
            </w:pPr>
            <w:r w:rsidRPr="006067DE">
              <w:rPr>
                <w:b/>
                <w:sz w:val="20"/>
                <w:szCs w:val="20"/>
              </w:rPr>
              <w:t>Phone</w:t>
            </w:r>
          </w:p>
        </w:tc>
        <w:tc>
          <w:tcPr>
            <w:tcW w:w="3060" w:type="dxa"/>
          </w:tcPr>
          <w:p w:rsidR="00F96537" w:rsidRPr="00B60605" w:rsidRDefault="00F96537" w:rsidP="00F96537">
            <w:pPr>
              <w:rPr>
                <w:rFonts w:cstheme="minorHAnsi"/>
              </w:rPr>
            </w:pPr>
            <w:r>
              <w:rPr>
                <w:rFonts w:cstheme="minorHAnsi"/>
              </w:rPr>
              <w:t>(720)-972-4600</w:t>
            </w:r>
          </w:p>
        </w:tc>
        <w:tc>
          <w:tcPr>
            <w:tcW w:w="1620" w:type="dxa"/>
            <w:shd w:val="clear" w:color="auto" w:fill="D9D9D9" w:themeFill="background1" w:themeFillShade="D9"/>
          </w:tcPr>
          <w:p w:rsidR="00F96537" w:rsidRPr="00773B08" w:rsidRDefault="004E5199" w:rsidP="00F96537">
            <w:pPr>
              <w:rPr>
                <w:b/>
                <w:sz w:val="20"/>
                <w:szCs w:val="20"/>
              </w:rPr>
            </w:pPr>
            <w:r>
              <w:rPr>
                <w:b/>
                <w:sz w:val="20"/>
                <w:szCs w:val="20"/>
              </w:rPr>
              <w:t>Email</w:t>
            </w:r>
          </w:p>
        </w:tc>
        <w:tc>
          <w:tcPr>
            <w:tcW w:w="3870" w:type="dxa"/>
          </w:tcPr>
          <w:p w:rsidR="00F96537" w:rsidRPr="00B60605" w:rsidRDefault="004E5199" w:rsidP="00F96537">
            <w:pPr>
              <w:rPr>
                <w:rFonts w:cstheme="minorHAnsi"/>
              </w:rPr>
            </w:pPr>
            <w:r>
              <w:rPr>
                <w:rFonts w:cstheme="minorHAnsi"/>
              </w:rPr>
              <w:t>Lorraine.Arvizo@adams12.org</w:t>
            </w:r>
          </w:p>
        </w:tc>
      </w:tr>
    </w:tbl>
    <w:p w:rsidR="001D02DE" w:rsidRDefault="001D02DE" w:rsidP="003372A6"/>
    <w:tbl>
      <w:tblPr>
        <w:tblStyle w:val="TableGrid"/>
        <w:tblW w:w="0" w:type="auto"/>
        <w:tblLook w:val="04A0" w:firstRow="1" w:lastRow="0" w:firstColumn="1" w:lastColumn="0" w:noHBand="0" w:noVBand="1"/>
      </w:tblPr>
      <w:tblGrid>
        <w:gridCol w:w="1678"/>
        <w:gridCol w:w="1549"/>
        <w:gridCol w:w="2889"/>
        <w:gridCol w:w="2542"/>
        <w:gridCol w:w="1412"/>
      </w:tblGrid>
      <w:tr w:rsidR="00B930F8" w:rsidTr="00147FA3">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0F8" w:rsidRDefault="00B930F8">
            <w:pPr>
              <w:rPr>
                <w:b/>
              </w:rPr>
            </w:pPr>
            <w:r>
              <w:rPr>
                <w:b/>
              </w:rPr>
              <w:t>Course Name</w:t>
            </w:r>
          </w:p>
        </w:tc>
        <w:tc>
          <w:tcPr>
            <w:tcW w:w="8392" w:type="dxa"/>
            <w:gridSpan w:val="4"/>
            <w:tcBorders>
              <w:top w:val="single" w:sz="4" w:space="0" w:color="auto"/>
              <w:left w:val="single" w:sz="4" w:space="0" w:color="auto"/>
              <w:bottom w:val="single" w:sz="4" w:space="0" w:color="auto"/>
              <w:right w:val="single" w:sz="4" w:space="0" w:color="auto"/>
            </w:tcBorders>
          </w:tcPr>
          <w:p w:rsidR="00B930F8" w:rsidRPr="007C4831" w:rsidRDefault="00D82199">
            <w:pPr>
              <w:rPr>
                <w:b/>
              </w:rPr>
            </w:pPr>
            <w:r>
              <w:rPr>
                <w:b/>
              </w:rPr>
              <w:t xml:space="preserve">CP </w:t>
            </w:r>
            <w:r w:rsidR="007C4831" w:rsidRPr="007C4831">
              <w:rPr>
                <w:b/>
              </w:rPr>
              <w:t>English 11: American Literature and Composition</w:t>
            </w:r>
          </w:p>
        </w:tc>
      </w:tr>
      <w:tr w:rsidR="00B930F8" w:rsidTr="00147FA3">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30F8" w:rsidRDefault="00B930F8">
            <w:pPr>
              <w:rPr>
                <w:b/>
              </w:rPr>
            </w:pPr>
            <w:r>
              <w:rPr>
                <w:b/>
              </w:rPr>
              <w:t>Course Description</w:t>
            </w:r>
          </w:p>
        </w:tc>
        <w:tc>
          <w:tcPr>
            <w:tcW w:w="8392" w:type="dxa"/>
            <w:gridSpan w:val="4"/>
            <w:tcBorders>
              <w:top w:val="single" w:sz="4" w:space="0" w:color="auto"/>
              <w:left w:val="single" w:sz="4" w:space="0" w:color="auto"/>
              <w:bottom w:val="single" w:sz="4" w:space="0" w:color="auto"/>
              <w:right w:val="single" w:sz="4" w:space="0" w:color="auto"/>
            </w:tcBorders>
          </w:tcPr>
          <w:p w:rsidR="00B930F8" w:rsidRDefault="00FE093E" w:rsidP="007C4831">
            <w:r w:rsidRPr="0059690D">
              <w:t>College-preparatory American Literature and Composition is a year-long course designed for Juniors who desire a more challenging learning opportunity. This course will focus on the development of literary theme and structure across the 18th, 19th, and 20th centuries in the United States in order for students to understand the thematic progression of American literature. Students will participate in a variety of inquiry-based learning activities and verbal activities as well as write narrative, comparative analysis, informative, and persuasive pieces.</w:t>
            </w:r>
            <w:r>
              <w:t xml:space="preserve"> </w:t>
            </w:r>
            <w:r w:rsidRPr="0059690D">
              <w:t>This course focuses upon commonly known American authors and their work. Students improve their critical-thinking skills as they determine the underlying assumptions and values within the selected works and as they understand how the literature reflects the society of the time. Oral discussion is an integral part of this literature course, and written compositions (formal/persuasive research, literary analyses, etc.) are often required.</w:t>
            </w:r>
          </w:p>
        </w:tc>
      </w:tr>
      <w:tr w:rsidR="00B930F8" w:rsidTr="00147FA3">
        <w:tc>
          <w:tcPr>
            <w:tcW w:w="1678"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Unit of Study</w:t>
            </w:r>
          </w:p>
        </w:tc>
        <w:tc>
          <w:tcPr>
            <w:tcW w:w="1549"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Approximate Timeline of Unit</w:t>
            </w:r>
          </w:p>
        </w:tc>
        <w:tc>
          <w:tcPr>
            <w:tcW w:w="2889"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Primary Text(s) with Descriptions from Amazon.com and notation of mature content</w:t>
            </w:r>
          </w:p>
        </w:tc>
        <w:tc>
          <w:tcPr>
            <w:tcW w:w="2542"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Text(s) support students with the following assessments:</w:t>
            </w:r>
          </w:p>
        </w:tc>
        <w:tc>
          <w:tcPr>
            <w:tcW w:w="1412" w:type="dxa"/>
            <w:tcBorders>
              <w:top w:val="single" w:sz="4" w:space="0" w:color="auto"/>
              <w:left w:val="single" w:sz="4" w:space="0" w:color="auto"/>
              <w:bottom w:val="single" w:sz="4" w:space="0" w:color="auto"/>
              <w:right w:val="single" w:sz="4" w:space="0" w:color="auto"/>
            </w:tcBorders>
            <w:vAlign w:val="center"/>
            <w:hideMark/>
          </w:tcPr>
          <w:p w:rsidR="00B930F8" w:rsidRDefault="00B930F8">
            <w:pPr>
              <w:jc w:val="center"/>
              <w:rPr>
                <w:b/>
              </w:rPr>
            </w:pPr>
            <w:r>
              <w:rPr>
                <w:b/>
              </w:rPr>
              <w:t>Targeted Date of Assessment</w:t>
            </w:r>
          </w:p>
        </w:tc>
      </w:tr>
      <w:tr w:rsidR="00B930F8" w:rsidTr="00147FA3">
        <w:tc>
          <w:tcPr>
            <w:tcW w:w="1678" w:type="dxa"/>
            <w:tcBorders>
              <w:top w:val="single" w:sz="4" w:space="0" w:color="auto"/>
              <w:left w:val="single" w:sz="4" w:space="0" w:color="auto"/>
              <w:bottom w:val="single" w:sz="4" w:space="0" w:color="auto"/>
              <w:right w:val="single" w:sz="4" w:space="0" w:color="auto"/>
            </w:tcBorders>
          </w:tcPr>
          <w:p w:rsidR="00B930F8" w:rsidRDefault="007C4831">
            <w:r>
              <w:t>Thematic Development and Authorial Choices</w:t>
            </w:r>
          </w:p>
        </w:tc>
        <w:tc>
          <w:tcPr>
            <w:tcW w:w="1549" w:type="dxa"/>
            <w:tcBorders>
              <w:top w:val="single" w:sz="4" w:space="0" w:color="auto"/>
              <w:left w:val="single" w:sz="4" w:space="0" w:color="auto"/>
              <w:bottom w:val="single" w:sz="4" w:space="0" w:color="auto"/>
              <w:right w:val="single" w:sz="4" w:space="0" w:color="auto"/>
            </w:tcBorders>
          </w:tcPr>
          <w:p w:rsidR="007C4831" w:rsidRDefault="007C4831" w:rsidP="007C4831">
            <w:r>
              <w:t xml:space="preserve">8 weeks: </w:t>
            </w:r>
          </w:p>
          <w:p w:rsidR="00B930F8" w:rsidRDefault="00A81F05" w:rsidP="007C4831">
            <w:r>
              <w:t>8/24-10/16</w:t>
            </w:r>
          </w:p>
        </w:tc>
        <w:tc>
          <w:tcPr>
            <w:tcW w:w="2889" w:type="dxa"/>
            <w:tcBorders>
              <w:top w:val="single" w:sz="4" w:space="0" w:color="auto"/>
              <w:left w:val="single" w:sz="4" w:space="0" w:color="auto"/>
              <w:bottom w:val="single" w:sz="4" w:space="0" w:color="auto"/>
              <w:right w:val="single" w:sz="4" w:space="0" w:color="auto"/>
            </w:tcBorders>
          </w:tcPr>
          <w:p w:rsidR="00A10603" w:rsidRPr="00A9300C" w:rsidRDefault="00A10603">
            <w:pPr>
              <w:rPr>
                <w:b/>
              </w:rPr>
            </w:pPr>
            <w:r w:rsidRPr="00A9300C">
              <w:rPr>
                <w:b/>
              </w:rPr>
              <w:t>The Things They Carried by Tim O’Brien</w:t>
            </w:r>
            <w:r w:rsidR="00581A77" w:rsidRPr="00A9300C">
              <w:t xml:space="preserve"> (novel), 1990</w:t>
            </w:r>
          </w:p>
          <w:p w:rsidR="00A10603" w:rsidRPr="00A9300C" w:rsidRDefault="00A10603" w:rsidP="00A10603">
            <w:r w:rsidRPr="00A9300C">
              <w:rPr>
                <w:rFonts w:ascii="Calibri" w:hAnsi="Calibri"/>
                <w:color w:val="000000"/>
              </w:rPr>
              <w:t>A classic work of American literature that has not stopped changing minds and lives since it burst onto the literary scene</w:t>
            </w:r>
            <w:r w:rsidRPr="00A9300C">
              <w:rPr>
                <w:rFonts w:ascii="Calibri" w:hAnsi="Calibri"/>
                <w:i/>
                <w:color w:val="000000"/>
              </w:rPr>
              <w:t>, The Things They Carried</w:t>
            </w:r>
            <w:r w:rsidRPr="00A9300C">
              <w:rPr>
                <w:rFonts w:ascii="Calibri" w:hAnsi="Calibri"/>
                <w:color w:val="000000"/>
              </w:rPr>
              <w:t xml:space="preserve"> is a ground-breaking meditation on war, memory, imagination, and the redemptive power of storytelling.  </w:t>
            </w:r>
            <w:r w:rsidRPr="00A9300C">
              <w:rPr>
                <w:rFonts w:ascii="Calibri" w:hAnsi="Calibri"/>
                <w:i/>
                <w:color w:val="000000"/>
              </w:rPr>
              <w:t>The Things They Carried</w:t>
            </w:r>
            <w:r w:rsidRPr="00A9300C">
              <w:rPr>
                <w:rFonts w:ascii="Calibri" w:hAnsi="Calibri"/>
                <w:color w:val="000000"/>
              </w:rPr>
              <w:t xml:space="preserve"> depicts the men of Alpha Company: Jimmy Cross, Henry Dobbins, Rat Kiley, Mitchell Sanders, Norman </w:t>
            </w:r>
            <w:proofErr w:type="spellStart"/>
            <w:r w:rsidRPr="00A9300C">
              <w:rPr>
                <w:rFonts w:ascii="Calibri" w:hAnsi="Calibri"/>
                <w:color w:val="000000"/>
              </w:rPr>
              <w:t>Bowker</w:t>
            </w:r>
            <w:proofErr w:type="spellEnd"/>
            <w:r w:rsidRPr="00A9300C">
              <w:rPr>
                <w:rFonts w:ascii="Calibri" w:hAnsi="Calibri"/>
                <w:color w:val="000000"/>
              </w:rPr>
              <w:t xml:space="preserve">, Kiowa, and the character Tim O’Brien, who has survived his tour in Vietnam to become a father and writer at the age of forty-three. Taught everywhere—from high school classrooms to graduate seminars in creative writing—it has become required reading for any American and continues </w:t>
            </w:r>
            <w:r w:rsidRPr="00A9300C">
              <w:rPr>
                <w:rFonts w:ascii="Calibri" w:hAnsi="Calibri"/>
                <w:color w:val="000000"/>
              </w:rPr>
              <w:lastRenderedPageBreak/>
              <w:t xml:space="preserve">to challenge readers in their perceptions of fact and fiction, war and peace, courage and fear and longing. </w:t>
            </w:r>
            <w:r w:rsidRPr="00A9300C">
              <w:rPr>
                <w:rFonts w:ascii="Calibri" w:hAnsi="Calibri"/>
                <w:i/>
                <w:color w:val="000000"/>
              </w:rPr>
              <w:t>The Things They Carried</w:t>
            </w:r>
            <w:r w:rsidRPr="00A9300C">
              <w:rPr>
                <w:rFonts w:ascii="Calibri" w:hAnsi="Calibri"/>
                <w:color w:val="000000"/>
              </w:rPr>
              <w:t xml:space="preserve"> won France's prestigious Prix du </w:t>
            </w:r>
            <w:proofErr w:type="spellStart"/>
            <w:r w:rsidRPr="00A9300C">
              <w:rPr>
                <w:rFonts w:ascii="Calibri" w:hAnsi="Calibri"/>
                <w:color w:val="000000"/>
              </w:rPr>
              <w:t>Meilleur</w:t>
            </w:r>
            <w:proofErr w:type="spellEnd"/>
            <w:r w:rsidRPr="00A9300C">
              <w:rPr>
                <w:rFonts w:ascii="Calibri" w:hAnsi="Calibri"/>
                <w:color w:val="000000"/>
              </w:rPr>
              <w:t xml:space="preserve"> Livre </w:t>
            </w:r>
            <w:proofErr w:type="spellStart"/>
            <w:r w:rsidRPr="00A9300C">
              <w:rPr>
                <w:rFonts w:ascii="Calibri" w:hAnsi="Calibri"/>
                <w:color w:val="000000"/>
              </w:rPr>
              <w:t>Etranger</w:t>
            </w:r>
            <w:proofErr w:type="spellEnd"/>
            <w:r w:rsidRPr="00A9300C">
              <w:rPr>
                <w:rFonts w:ascii="Calibri" w:hAnsi="Calibri"/>
                <w:color w:val="000000"/>
              </w:rPr>
              <w:t xml:space="preserve"> and the Chicago Tribune Heartland Prize; it was also a finalist for the Pulitzer Prize and the National Book Critics Circle Award. (Sexual Content, Profanity, Violence)</w:t>
            </w:r>
          </w:p>
          <w:p w:rsidR="00A10603" w:rsidRPr="00A9300C" w:rsidRDefault="00A10603"/>
        </w:tc>
        <w:tc>
          <w:tcPr>
            <w:tcW w:w="2542" w:type="dxa"/>
            <w:tcBorders>
              <w:top w:val="single" w:sz="4" w:space="0" w:color="auto"/>
              <w:left w:val="single" w:sz="4" w:space="0" w:color="auto"/>
              <w:bottom w:val="single" w:sz="4" w:space="0" w:color="auto"/>
              <w:right w:val="single" w:sz="4" w:space="0" w:color="auto"/>
            </w:tcBorders>
          </w:tcPr>
          <w:p w:rsidR="008672F0" w:rsidRDefault="008672F0" w:rsidP="008672F0">
            <w:r w:rsidRPr="00856E6C">
              <w:rPr>
                <w:b/>
              </w:rPr>
              <w:lastRenderedPageBreak/>
              <w:t>Text-Based Discussion:</w:t>
            </w:r>
            <w:r>
              <w:t xml:space="preserve"> Students use close reading skills to analyze</w:t>
            </w:r>
            <w:r w:rsidR="000C1E90">
              <w:t xml:space="preserve"> two or more themes or central </w:t>
            </w:r>
            <w:r>
              <w:t>ide</w:t>
            </w:r>
            <w:r w:rsidR="00A81F05">
              <w:t xml:space="preserve">as of a text and analyze their </w:t>
            </w:r>
            <w:r>
              <w:t xml:space="preserve">development over the course </w:t>
            </w:r>
            <w:proofErr w:type="gramStart"/>
            <w:r>
              <w:t>of  the</w:t>
            </w:r>
            <w:proofErr w:type="gramEnd"/>
            <w:r>
              <w:t xml:space="preserve"> text.</w:t>
            </w:r>
          </w:p>
          <w:p w:rsidR="008672F0" w:rsidRDefault="008672F0" w:rsidP="008672F0">
            <w:r w:rsidRPr="00856E6C">
              <w:rPr>
                <w:b/>
              </w:rPr>
              <w:t>Theme Analysis:</w:t>
            </w:r>
            <w:r>
              <w:t xml:space="preserve"> Students write analysis of two or more themes or central ideas of a text and analyze their development over the course of the text, including how they interact and build on one another to produce a complex account.</w:t>
            </w:r>
          </w:p>
          <w:p w:rsidR="008672F0" w:rsidRPr="00856E6C" w:rsidRDefault="008672F0" w:rsidP="008672F0">
            <w:pPr>
              <w:rPr>
                <w:b/>
              </w:rPr>
            </w:pPr>
            <w:r>
              <w:rPr>
                <w:b/>
              </w:rPr>
              <w:t xml:space="preserve">Peer Writing Conferences: </w:t>
            </w:r>
            <w:r>
              <w:t>Students develop, revise, and edit the researched fiction toward achieving the standards.</w:t>
            </w:r>
          </w:p>
          <w:p w:rsidR="00B930F8" w:rsidRPr="008672F0" w:rsidRDefault="008672F0" w:rsidP="008672F0">
            <w:pPr>
              <w:rPr>
                <w:rFonts w:cstheme="minorHAnsi"/>
              </w:rPr>
            </w:pPr>
            <w:r w:rsidRPr="00856E6C">
              <w:rPr>
                <w:b/>
              </w:rPr>
              <w:t>Researched Fiction:</w:t>
            </w:r>
            <w:r>
              <w:t xml:space="preserve"> Students write a multiple-</w:t>
            </w:r>
            <w:r>
              <w:lastRenderedPageBreak/>
              <w:t>theme narrative to develop researched and imagined experiences or events using a range of literary techniques, including figurative language, precise words and phrases, telling details, and sensory language to convey a vivid picture of the experiences, events, setting, and/or characters.</w:t>
            </w:r>
          </w:p>
        </w:tc>
        <w:tc>
          <w:tcPr>
            <w:tcW w:w="1412" w:type="dxa"/>
            <w:tcBorders>
              <w:top w:val="single" w:sz="4" w:space="0" w:color="auto"/>
              <w:left w:val="single" w:sz="4" w:space="0" w:color="auto"/>
              <w:bottom w:val="single" w:sz="4" w:space="0" w:color="auto"/>
              <w:right w:val="single" w:sz="4" w:space="0" w:color="auto"/>
            </w:tcBorders>
          </w:tcPr>
          <w:p w:rsidR="00B930F8" w:rsidRDefault="00A81F05">
            <w:r>
              <w:lastRenderedPageBreak/>
              <w:t>9/18/15</w:t>
            </w:r>
          </w:p>
          <w:p w:rsidR="008672F0" w:rsidRDefault="008672F0"/>
          <w:p w:rsidR="00A10603" w:rsidRDefault="00A10603"/>
          <w:p w:rsidR="00A10603" w:rsidRDefault="00A10603"/>
          <w:p w:rsidR="00A10603" w:rsidRDefault="00A10603"/>
          <w:p w:rsidR="00A10603" w:rsidRDefault="00A10603"/>
          <w:p w:rsidR="00A10603" w:rsidRDefault="00A10603"/>
          <w:p w:rsidR="00A10603" w:rsidRDefault="00A10603"/>
          <w:p w:rsidR="008672F0" w:rsidRDefault="00A81F05">
            <w:r>
              <w:t>9/25/15</w:t>
            </w:r>
          </w:p>
          <w:p w:rsidR="008672F0" w:rsidRDefault="008672F0"/>
          <w:p w:rsidR="00A10603" w:rsidRDefault="00A10603"/>
          <w:p w:rsidR="00A10603" w:rsidRDefault="00A10603"/>
          <w:p w:rsidR="00A10603" w:rsidRDefault="00A10603"/>
          <w:p w:rsidR="00A10603" w:rsidRDefault="00A10603"/>
          <w:p w:rsidR="00A10603" w:rsidRDefault="00A10603"/>
          <w:p w:rsidR="00A10603" w:rsidRDefault="00A10603"/>
          <w:p w:rsidR="00A10603" w:rsidRDefault="00A10603"/>
          <w:p w:rsidR="00A10603" w:rsidRDefault="00A10603"/>
          <w:p w:rsidR="00A81F05" w:rsidRDefault="00A81F05"/>
          <w:p w:rsidR="008672F0" w:rsidRDefault="00A81F05">
            <w:r>
              <w:t>10/14/15</w:t>
            </w:r>
          </w:p>
          <w:p w:rsidR="008672F0" w:rsidRDefault="008672F0"/>
          <w:p w:rsidR="00A10603" w:rsidRDefault="00A10603"/>
          <w:p w:rsidR="00A10603" w:rsidRDefault="00A10603"/>
          <w:p w:rsidR="00A10603" w:rsidRDefault="00A10603"/>
          <w:p w:rsidR="00A10603" w:rsidRDefault="00A10603"/>
          <w:p w:rsidR="008672F0" w:rsidRDefault="008672F0"/>
          <w:p w:rsidR="00A81F05" w:rsidRDefault="00A81F05">
            <w:r>
              <w:t>10/16/15</w:t>
            </w:r>
          </w:p>
        </w:tc>
      </w:tr>
      <w:tr w:rsidR="00B930F8" w:rsidTr="00147FA3">
        <w:tc>
          <w:tcPr>
            <w:tcW w:w="1678" w:type="dxa"/>
            <w:tcBorders>
              <w:top w:val="single" w:sz="4" w:space="0" w:color="auto"/>
              <w:left w:val="single" w:sz="4" w:space="0" w:color="auto"/>
              <w:bottom w:val="single" w:sz="4" w:space="0" w:color="auto"/>
              <w:right w:val="single" w:sz="4" w:space="0" w:color="auto"/>
            </w:tcBorders>
          </w:tcPr>
          <w:p w:rsidR="00B930F8" w:rsidRDefault="007C4831">
            <w:r>
              <w:lastRenderedPageBreak/>
              <w:t>Argument and Inquiry</w:t>
            </w:r>
          </w:p>
        </w:tc>
        <w:tc>
          <w:tcPr>
            <w:tcW w:w="1549" w:type="dxa"/>
            <w:tcBorders>
              <w:top w:val="single" w:sz="4" w:space="0" w:color="auto"/>
              <w:left w:val="single" w:sz="4" w:space="0" w:color="auto"/>
              <w:bottom w:val="single" w:sz="4" w:space="0" w:color="auto"/>
              <w:right w:val="single" w:sz="4" w:space="0" w:color="auto"/>
            </w:tcBorders>
          </w:tcPr>
          <w:p w:rsidR="00B930F8" w:rsidRDefault="00A81F05">
            <w:r>
              <w:t>5</w:t>
            </w:r>
            <w:r w:rsidR="007C4831">
              <w:t xml:space="preserve"> weeks:</w:t>
            </w:r>
          </w:p>
          <w:p w:rsidR="007C4831" w:rsidRDefault="00A81F05">
            <w:r>
              <w:t>10/19-11/20</w:t>
            </w:r>
          </w:p>
        </w:tc>
        <w:tc>
          <w:tcPr>
            <w:tcW w:w="2889" w:type="dxa"/>
            <w:tcBorders>
              <w:top w:val="single" w:sz="4" w:space="0" w:color="auto"/>
              <w:left w:val="single" w:sz="4" w:space="0" w:color="auto"/>
              <w:bottom w:val="single" w:sz="4" w:space="0" w:color="auto"/>
              <w:right w:val="single" w:sz="4" w:space="0" w:color="auto"/>
            </w:tcBorders>
          </w:tcPr>
          <w:p w:rsidR="00834655" w:rsidRPr="00A9300C" w:rsidRDefault="00834655" w:rsidP="00834655">
            <w:r w:rsidRPr="00A9300C">
              <w:rPr>
                <w:b/>
              </w:rPr>
              <w:t>Declaration of Independence</w:t>
            </w:r>
            <w:r w:rsidRPr="00A9300C">
              <w:t xml:space="preserve"> (1776)</w:t>
            </w:r>
          </w:p>
          <w:p w:rsidR="00834655" w:rsidRPr="00A9300C" w:rsidRDefault="00834655" w:rsidP="00834655">
            <w:r w:rsidRPr="00A9300C">
              <w:rPr>
                <w:b/>
              </w:rPr>
              <w:t>“Gettysburg Address”</w:t>
            </w:r>
            <w:r w:rsidRPr="00A9300C">
              <w:t xml:space="preserve"> – Abraham Lincoln (1863)</w:t>
            </w:r>
          </w:p>
          <w:p w:rsidR="00834655" w:rsidRPr="00A9300C" w:rsidRDefault="00834655" w:rsidP="00834655">
            <w:r w:rsidRPr="00A9300C">
              <w:rPr>
                <w:b/>
              </w:rPr>
              <w:t>Second Inaugural Address</w:t>
            </w:r>
            <w:r w:rsidRPr="00A9300C">
              <w:t xml:space="preserve"> – Abraham Lincoln (1865)</w:t>
            </w:r>
          </w:p>
          <w:p w:rsidR="00834655" w:rsidRPr="00A9300C" w:rsidRDefault="00834655" w:rsidP="00834655">
            <w:r w:rsidRPr="00A9300C">
              <w:rPr>
                <w:b/>
              </w:rPr>
              <w:t>Brown v. Board of Education</w:t>
            </w:r>
            <w:r w:rsidRPr="00A9300C">
              <w:t xml:space="preserve"> (14</w:t>
            </w:r>
            <w:r w:rsidRPr="00A9300C">
              <w:rPr>
                <w:vertAlign w:val="superscript"/>
              </w:rPr>
              <w:t>th</w:t>
            </w:r>
            <w:r w:rsidRPr="00A9300C">
              <w:t xml:space="preserve"> Amendment, 1954)</w:t>
            </w:r>
          </w:p>
          <w:p w:rsidR="00834655" w:rsidRPr="00A9300C" w:rsidRDefault="00834655" w:rsidP="00834655">
            <w:r w:rsidRPr="00A9300C">
              <w:rPr>
                <w:b/>
              </w:rPr>
              <w:t>Roe v. Wade</w:t>
            </w:r>
            <w:r w:rsidRPr="00A9300C">
              <w:t xml:space="preserve"> (14</w:t>
            </w:r>
            <w:r w:rsidRPr="00A9300C">
              <w:rPr>
                <w:vertAlign w:val="superscript"/>
              </w:rPr>
              <w:t>th</w:t>
            </w:r>
            <w:r w:rsidRPr="00A9300C">
              <w:t xml:space="preserve"> Amendment, 1973)</w:t>
            </w:r>
          </w:p>
          <w:p w:rsidR="00834655" w:rsidRPr="00A9300C" w:rsidRDefault="00834655" w:rsidP="00834655">
            <w:r w:rsidRPr="00A9300C">
              <w:rPr>
                <w:b/>
              </w:rPr>
              <w:t>Lawrence v. Texas</w:t>
            </w:r>
            <w:r w:rsidRPr="00A9300C">
              <w:t xml:space="preserve"> (14</w:t>
            </w:r>
            <w:r w:rsidRPr="00A9300C">
              <w:rPr>
                <w:vertAlign w:val="superscript"/>
              </w:rPr>
              <w:t>th</w:t>
            </w:r>
            <w:r w:rsidRPr="00A9300C">
              <w:t xml:space="preserve"> Amendment, 2003)</w:t>
            </w:r>
          </w:p>
          <w:p w:rsidR="00B930F8" w:rsidRDefault="00B930F8">
            <w:pPr>
              <w:rPr>
                <w:b/>
              </w:rPr>
            </w:pPr>
          </w:p>
          <w:p w:rsidR="004E077F" w:rsidRPr="00A9300C" w:rsidRDefault="004E077F">
            <w:pPr>
              <w:rPr>
                <w:b/>
              </w:rPr>
            </w:pPr>
          </w:p>
        </w:tc>
        <w:tc>
          <w:tcPr>
            <w:tcW w:w="2542" w:type="dxa"/>
            <w:tcBorders>
              <w:top w:val="single" w:sz="4" w:space="0" w:color="auto"/>
              <w:left w:val="single" w:sz="4" w:space="0" w:color="auto"/>
              <w:bottom w:val="single" w:sz="4" w:space="0" w:color="auto"/>
              <w:right w:val="single" w:sz="4" w:space="0" w:color="auto"/>
            </w:tcBorders>
            <w:hideMark/>
          </w:tcPr>
          <w:p w:rsidR="00834655" w:rsidRDefault="00834655" w:rsidP="00834655">
            <w:r w:rsidRPr="00685BA3">
              <w:rPr>
                <w:b/>
              </w:rPr>
              <w:t>Argument Writing:</w:t>
            </w:r>
            <w:r>
              <w:t xml:space="preserve"> Students integrate multiple sources of information to create argumentative responses based on reading and/or research. </w:t>
            </w:r>
          </w:p>
          <w:p w:rsidR="00834655" w:rsidRDefault="00834655" w:rsidP="00834655">
            <w:r w:rsidRPr="00685BA3">
              <w:rPr>
                <w:b/>
              </w:rPr>
              <w:t>Individual or Group Research</w:t>
            </w:r>
            <w:r>
              <w:t>: Students conduct a short research project to trace the enduring significance of a foundational U.S. document, court decision, or constitutional principle from its creation through contemporary American history.</w:t>
            </w:r>
          </w:p>
          <w:p w:rsidR="00834655" w:rsidRPr="00856E6C" w:rsidRDefault="00834655" w:rsidP="00834655">
            <w:r w:rsidRPr="00685BA3">
              <w:rPr>
                <w:b/>
              </w:rPr>
              <w:t>Group Presentation:</w:t>
            </w:r>
            <w:r>
              <w:t xml:space="preserve"> Students argue the enduring significance of a foundational U.S. document, court decision, or constitutional principle based on their research. This could take the form of a case study or moot court.</w:t>
            </w:r>
          </w:p>
          <w:p w:rsidR="00B930F8" w:rsidRDefault="00B930F8" w:rsidP="008672F0">
            <w:pPr>
              <w:rPr>
                <w:rFonts w:cstheme="minorHAnsi"/>
              </w:rPr>
            </w:pPr>
          </w:p>
          <w:p w:rsidR="00A81F05" w:rsidRDefault="00A81F05" w:rsidP="008672F0">
            <w:pPr>
              <w:rPr>
                <w:rFonts w:cstheme="minorHAnsi"/>
              </w:rPr>
            </w:pPr>
          </w:p>
          <w:p w:rsidR="00A81F05" w:rsidRDefault="00A81F05" w:rsidP="008672F0">
            <w:pPr>
              <w:rPr>
                <w:rFonts w:cstheme="minorHAnsi"/>
              </w:rPr>
            </w:pPr>
          </w:p>
          <w:p w:rsidR="004E077F" w:rsidRDefault="004E077F" w:rsidP="008672F0">
            <w:pPr>
              <w:rPr>
                <w:rFonts w:cstheme="minorHAnsi"/>
              </w:rPr>
            </w:pPr>
          </w:p>
          <w:p w:rsidR="004E077F" w:rsidRDefault="004E077F" w:rsidP="008672F0">
            <w:pPr>
              <w:rPr>
                <w:rFonts w:cstheme="minorHAnsi"/>
              </w:rPr>
            </w:pPr>
          </w:p>
          <w:p w:rsidR="00A81F05" w:rsidRPr="008672F0" w:rsidRDefault="00A81F05" w:rsidP="008672F0">
            <w:pPr>
              <w:rPr>
                <w:rFonts w:cstheme="minorHAnsi"/>
              </w:rPr>
            </w:pPr>
          </w:p>
        </w:tc>
        <w:tc>
          <w:tcPr>
            <w:tcW w:w="1412" w:type="dxa"/>
            <w:tcBorders>
              <w:top w:val="single" w:sz="4" w:space="0" w:color="auto"/>
              <w:left w:val="single" w:sz="4" w:space="0" w:color="auto"/>
              <w:bottom w:val="single" w:sz="4" w:space="0" w:color="auto"/>
              <w:right w:val="single" w:sz="4" w:space="0" w:color="auto"/>
            </w:tcBorders>
          </w:tcPr>
          <w:p w:rsidR="00123432" w:rsidRDefault="00A81F05">
            <w:r>
              <w:t>10/30/15</w:t>
            </w:r>
          </w:p>
          <w:p w:rsidR="00123432" w:rsidRDefault="00123432"/>
          <w:p w:rsidR="00E53B87" w:rsidRDefault="00E53B87"/>
          <w:p w:rsidR="00E53B87" w:rsidRDefault="00E53B87"/>
          <w:p w:rsidR="00E53B87" w:rsidRDefault="00E53B87"/>
          <w:p w:rsidR="00E53B87" w:rsidRDefault="00E53B87"/>
          <w:p w:rsidR="00E53B87" w:rsidRDefault="00E53B87"/>
          <w:p w:rsidR="00123432" w:rsidRDefault="00A81F05">
            <w:r>
              <w:t>11/6/15</w:t>
            </w:r>
          </w:p>
          <w:p w:rsidR="00123432" w:rsidRDefault="00123432"/>
          <w:p w:rsidR="00E53B87" w:rsidRDefault="00E53B87"/>
          <w:p w:rsidR="00E53B87" w:rsidRDefault="00E53B87"/>
          <w:p w:rsidR="00E53B87" w:rsidRDefault="00E53B87"/>
          <w:p w:rsidR="00E53B87" w:rsidRDefault="00E53B87"/>
          <w:p w:rsidR="00E53B87" w:rsidRDefault="00E53B87"/>
          <w:p w:rsidR="00E53B87" w:rsidRDefault="00E53B87"/>
          <w:p w:rsidR="00E53B87" w:rsidRDefault="00E53B87"/>
          <w:p w:rsidR="00E53B87" w:rsidRDefault="00E53B87"/>
          <w:p w:rsidR="00E53B87" w:rsidRDefault="00E53B87"/>
          <w:p w:rsidR="00123432" w:rsidRDefault="00A81F05">
            <w:r>
              <w:t>11/20/15</w:t>
            </w:r>
          </w:p>
        </w:tc>
      </w:tr>
      <w:tr w:rsidR="00123432" w:rsidTr="00147FA3">
        <w:tc>
          <w:tcPr>
            <w:tcW w:w="1678" w:type="dxa"/>
            <w:tcBorders>
              <w:top w:val="single" w:sz="4" w:space="0" w:color="auto"/>
              <w:left w:val="single" w:sz="4" w:space="0" w:color="auto"/>
              <w:bottom w:val="single" w:sz="4" w:space="0" w:color="auto"/>
              <w:right w:val="single" w:sz="4" w:space="0" w:color="auto"/>
            </w:tcBorders>
          </w:tcPr>
          <w:p w:rsidR="00123432" w:rsidRDefault="00123432">
            <w:r>
              <w:lastRenderedPageBreak/>
              <w:t>Comparative Analysis</w:t>
            </w:r>
          </w:p>
        </w:tc>
        <w:tc>
          <w:tcPr>
            <w:tcW w:w="1549" w:type="dxa"/>
            <w:tcBorders>
              <w:top w:val="single" w:sz="4" w:space="0" w:color="auto"/>
              <w:left w:val="single" w:sz="4" w:space="0" w:color="auto"/>
              <w:bottom w:val="single" w:sz="4" w:space="0" w:color="auto"/>
              <w:right w:val="single" w:sz="4" w:space="0" w:color="auto"/>
            </w:tcBorders>
          </w:tcPr>
          <w:p w:rsidR="00123432" w:rsidRDefault="00A81F05">
            <w:r>
              <w:t>6</w:t>
            </w:r>
            <w:r w:rsidR="00123432">
              <w:t xml:space="preserve"> weeks: </w:t>
            </w:r>
          </w:p>
          <w:p w:rsidR="00123432" w:rsidRDefault="00123432" w:rsidP="00530349">
            <w:r>
              <w:t>12/1-</w:t>
            </w:r>
            <w:r w:rsidR="00A81F05">
              <w:t>1/22</w:t>
            </w:r>
          </w:p>
        </w:tc>
        <w:tc>
          <w:tcPr>
            <w:tcW w:w="2889" w:type="dxa"/>
            <w:tcBorders>
              <w:top w:val="single" w:sz="4" w:space="0" w:color="auto"/>
              <w:left w:val="single" w:sz="4" w:space="0" w:color="auto"/>
              <w:bottom w:val="single" w:sz="4" w:space="0" w:color="auto"/>
              <w:right w:val="single" w:sz="4" w:space="0" w:color="auto"/>
            </w:tcBorders>
          </w:tcPr>
          <w:p w:rsidR="00A81F05" w:rsidRDefault="00A81F05" w:rsidP="00A81F05">
            <w:pPr>
              <w:rPr>
                <w:b/>
              </w:rPr>
            </w:pPr>
            <w:r>
              <w:rPr>
                <w:b/>
              </w:rPr>
              <w:t>A Variety of Poetry (student choice)</w:t>
            </w:r>
          </w:p>
          <w:p w:rsidR="00A81F05" w:rsidRDefault="00A81F05" w:rsidP="00A81F05">
            <w:pPr>
              <w:rPr>
                <w:b/>
              </w:rPr>
            </w:pPr>
          </w:p>
          <w:p w:rsidR="00A81F05" w:rsidRPr="00E05437" w:rsidRDefault="00A81F05" w:rsidP="00A81F05">
            <w:pPr>
              <w:rPr>
                <w:b/>
              </w:rPr>
            </w:pPr>
            <w:r>
              <w:rPr>
                <w:b/>
              </w:rPr>
              <w:t>A Variety of Novels (student choice)</w:t>
            </w:r>
          </w:p>
          <w:p w:rsidR="00A81F05" w:rsidRDefault="00A81F05" w:rsidP="00123432">
            <w:pPr>
              <w:rPr>
                <w:b/>
              </w:rPr>
            </w:pPr>
          </w:p>
          <w:p w:rsidR="00123432" w:rsidRPr="00A9300C" w:rsidRDefault="00A81F05" w:rsidP="00123432">
            <w:r w:rsidRPr="00A9300C">
              <w:rPr>
                <w:b/>
              </w:rPr>
              <w:t xml:space="preserve"> </w:t>
            </w:r>
            <w:r w:rsidR="00123432" w:rsidRPr="00A9300C">
              <w:rPr>
                <w:b/>
              </w:rPr>
              <w:t>“At the Bomb Testing Site”</w:t>
            </w:r>
            <w:r w:rsidR="00123432" w:rsidRPr="00A9300C">
              <w:t xml:space="preserve"> (poem, 1998) by William Stafford</w:t>
            </w:r>
          </w:p>
          <w:p w:rsidR="00123432" w:rsidRPr="00A9300C" w:rsidRDefault="00123432" w:rsidP="00123432">
            <w:r w:rsidRPr="00A9300C">
              <w:rPr>
                <w:b/>
              </w:rPr>
              <w:t>“The Clan of the One-Breasted Women”</w:t>
            </w:r>
            <w:r w:rsidRPr="00A9300C">
              <w:t xml:space="preserve"> (article, 1991) by Terry Tempest Williams</w:t>
            </w:r>
          </w:p>
          <w:p w:rsidR="00123432" w:rsidRPr="00A9300C" w:rsidRDefault="00123432" w:rsidP="00123432">
            <w:r w:rsidRPr="00A9300C">
              <w:rPr>
                <w:b/>
              </w:rPr>
              <w:t>“Farewell, My Lovely”</w:t>
            </w:r>
            <w:r w:rsidRPr="00A9300C">
              <w:t xml:space="preserve"> (article, 1936)</w:t>
            </w:r>
          </w:p>
          <w:p w:rsidR="00123432" w:rsidRPr="00A9300C" w:rsidRDefault="00123432" w:rsidP="00123432">
            <w:r w:rsidRPr="00A9300C">
              <w:rPr>
                <w:b/>
              </w:rPr>
              <w:t>“Do Not Go Gentle Into That Good Night”</w:t>
            </w:r>
            <w:r w:rsidRPr="00A9300C">
              <w:t xml:space="preserve"> (poem, 1939) by Dylan Thomas</w:t>
            </w:r>
          </w:p>
          <w:p w:rsidR="00123432" w:rsidRPr="00A9300C" w:rsidRDefault="00123432" w:rsidP="00123432">
            <w:r w:rsidRPr="00A9300C">
              <w:rPr>
                <w:b/>
              </w:rPr>
              <w:t>“The Road Not Taken”</w:t>
            </w:r>
            <w:r w:rsidRPr="00A9300C">
              <w:t xml:space="preserve"> (poem, 1916) by Robert Frost</w:t>
            </w:r>
          </w:p>
          <w:p w:rsidR="00123432" w:rsidRPr="00A9300C" w:rsidRDefault="00123432" w:rsidP="00834655">
            <w:pPr>
              <w:rPr>
                <w:b/>
              </w:rPr>
            </w:pPr>
          </w:p>
        </w:tc>
        <w:tc>
          <w:tcPr>
            <w:tcW w:w="2542" w:type="dxa"/>
            <w:tcBorders>
              <w:top w:val="single" w:sz="4" w:space="0" w:color="auto"/>
              <w:left w:val="single" w:sz="4" w:space="0" w:color="auto"/>
              <w:bottom w:val="single" w:sz="4" w:space="0" w:color="auto"/>
              <w:right w:val="single" w:sz="4" w:space="0" w:color="auto"/>
            </w:tcBorders>
          </w:tcPr>
          <w:p w:rsidR="00710D9D" w:rsidRPr="00042A94" w:rsidRDefault="00710D9D" w:rsidP="00710D9D">
            <w:r w:rsidRPr="00042A94">
              <w:rPr>
                <w:b/>
              </w:rPr>
              <w:t>Oral Presentations:</w:t>
            </w:r>
            <w:r>
              <w:t xml:space="preserve"> Students orally present a text with the </w:t>
            </w:r>
            <w:r w:rsidRPr="00042A94">
              <w:t>intent of giving a</w:t>
            </w:r>
            <w:r>
              <w:t xml:space="preserve"> particular </w:t>
            </w:r>
            <w:r w:rsidRPr="00042A94">
              <w:t>in</w:t>
            </w:r>
            <w:r>
              <w:t xml:space="preserve">terpretation. Students analyze audience response to evaluate </w:t>
            </w:r>
            <w:r w:rsidRPr="00042A94">
              <w:t>h</w:t>
            </w:r>
            <w:r>
              <w:t xml:space="preserve">ow effectively the presentation </w:t>
            </w:r>
            <w:r w:rsidRPr="00042A94">
              <w:t>met the purpose.</w:t>
            </w:r>
          </w:p>
          <w:p w:rsidR="00710D9D" w:rsidRPr="00042A94" w:rsidRDefault="00710D9D" w:rsidP="00710D9D">
            <w:r w:rsidRPr="00042A94">
              <w:rPr>
                <w:b/>
              </w:rPr>
              <w:t>Comparative Analysis:</w:t>
            </w:r>
            <w:r>
              <w:t xml:space="preserve"> Students analyze how two or more texts from a chosen time period, at </w:t>
            </w:r>
            <w:r w:rsidRPr="00042A94">
              <w:t>le</w:t>
            </w:r>
            <w:r>
              <w:t xml:space="preserve">ast one of which is nonfiction, </w:t>
            </w:r>
            <w:r w:rsidRPr="00042A94">
              <w:t>treat a similar theme or topic.</w:t>
            </w:r>
          </w:p>
          <w:p w:rsidR="00123432" w:rsidRPr="00FE093E" w:rsidRDefault="00710D9D" w:rsidP="00834655">
            <w:r w:rsidRPr="00042A94">
              <w:rPr>
                <w:b/>
              </w:rPr>
              <w:t>Publish:</w:t>
            </w:r>
            <w:r>
              <w:t xml:space="preserve"> Students use technology to update and publish comparative analysis. Students </w:t>
            </w:r>
            <w:r w:rsidRPr="00042A94">
              <w:t>cou</w:t>
            </w:r>
            <w:r>
              <w:t xml:space="preserve">ld use the Internet to present two texts from the same time </w:t>
            </w:r>
            <w:r w:rsidRPr="00042A94">
              <w:t>p</w:t>
            </w:r>
            <w:r>
              <w:t xml:space="preserve">eriod and argue an analysis of </w:t>
            </w:r>
            <w:r w:rsidRPr="00042A94">
              <w:t>ea</w:t>
            </w:r>
            <w:r>
              <w:t xml:space="preserve">ch, gathering input from peers </w:t>
            </w:r>
            <w:r w:rsidRPr="00042A94">
              <w:t>to strengthen their analysis.</w:t>
            </w:r>
          </w:p>
        </w:tc>
        <w:tc>
          <w:tcPr>
            <w:tcW w:w="1412" w:type="dxa"/>
            <w:tcBorders>
              <w:top w:val="single" w:sz="4" w:space="0" w:color="auto"/>
              <w:left w:val="single" w:sz="4" w:space="0" w:color="auto"/>
              <w:bottom w:val="single" w:sz="4" w:space="0" w:color="auto"/>
              <w:right w:val="single" w:sz="4" w:space="0" w:color="auto"/>
            </w:tcBorders>
          </w:tcPr>
          <w:p w:rsidR="00123432" w:rsidRDefault="00123432" w:rsidP="00123432">
            <w:r>
              <w:t>1</w:t>
            </w:r>
            <w:r w:rsidR="00530349">
              <w:t>2</w:t>
            </w:r>
            <w:r>
              <w:t>/1</w:t>
            </w:r>
            <w:r w:rsidR="00A81F05">
              <w:t>6/15</w:t>
            </w:r>
          </w:p>
          <w:p w:rsidR="00123432" w:rsidRDefault="00123432" w:rsidP="00123432"/>
          <w:p w:rsidR="00123432" w:rsidRDefault="00123432" w:rsidP="00123432"/>
          <w:p w:rsidR="00123432" w:rsidRDefault="00123432" w:rsidP="00123432"/>
          <w:p w:rsidR="00123432" w:rsidRDefault="00123432" w:rsidP="00123432"/>
          <w:p w:rsidR="00710D9D" w:rsidRDefault="00710D9D" w:rsidP="00123432"/>
          <w:p w:rsidR="00710D9D" w:rsidRDefault="00710D9D" w:rsidP="00123432"/>
          <w:p w:rsidR="00710D9D" w:rsidRDefault="00710D9D" w:rsidP="00123432"/>
          <w:p w:rsidR="00710D9D" w:rsidRDefault="00710D9D" w:rsidP="00123432"/>
          <w:p w:rsidR="00710D9D" w:rsidRDefault="00710D9D" w:rsidP="00123432"/>
          <w:p w:rsidR="00123432" w:rsidRDefault="00DE60BD" w:rsidP="00123432">
            <w:r>
              <w:t>1/</w:t>
            </w:r>
            <w:r w:rsidR="00A81F05">
              <w:t>22/16</w:t>
            </w:r>
          </w:p>
          <w:p w:rsidR="00710D9D" w:rsidRDefault="00710D9D" w:rsidP="00123432"/>
          <w:p w:rsidR="00710D9D" w:rsidRDefault="00710D9D" w:rsidP="00123432"/>
          <w:p w:rsidR="00710D9D" w:rsidRDefault="00710D9D" w:rsidP="00123432"/>
          <w:p w:rsidR="00710D9D" w:rsidRDefault="00710D9D" w:rsidP="00123432"/>
          <w:p w:rsidR="00710D9D" w:rsidRDefault="00710D9D" w:rsidP="00123432"/>
          <w:p w:rsidR="00710D9D" w:rsidRDefault="00710D9D" w:rsidP="00123432"/>
          <w:p w:rsidR="00710D9D" w:rsidRDefault="00A81F05" w:rsidP="00DE60BD">
            <w:r>
              <w:t>1/22</w:t>
            </w:r>
            <w:r w:rsidR="00DE60BD">
              <w:t>/</w:t>
            </w:r>
            <w:r>
              <w:t>16</w:t>
            </w:r>
          </w:p>
        </w:tc>
      </w:tr>
      <w:tr w:rsidR="00B930F8" w:rsidTr="00147FA3">
        <w:tc>
          <w:tcPr>
            <w:tcW w:w="1678" w:type="dxa"/>
            <w:tcBorders>
              <w:top w:val="single" w:sz="4" w:space="0" w:color="auto"/>
              <w:left w:val="single" w:sz="4" w:space="0" w:color="auto"/>
              <w:bottom w:val="single" w:sz="4" w:space="0" w:color="auto"/>
              <w:right w:val="single" w:sz="4" w:space="0" w:color="auto"/>
            </w:tcBorders>
          </w:tcPr>
          <w:p w:rsidR="00B930F8" w:rsidRDefault="007C4831">
            <w:r>
              <w:t>Interpretation of Drama: Genre Study (includes Playwriting PBL)</w:t>
            </w:r>
          </w:p>
        </w:tc>
        <w:tc>
          <w:tcPr>
            <w:tcW w:w="1549" w:type="dxa"/>
            <w:tcBorders>
              <w:top w:val="single" w:sz="4" w:space="0" w:color="auto"/>
              <w:left w:val="single" w:sz="4" w:space="0" w:color="auto"/>
              <w:bottom w:val="single" w:sz="4" w:space="0" w:color="auto"/>
              <w:right w:val="single" w:sz="4" w:space="0" w:color="auto"/>
            </w:tcBorders>
          </w:tcPr>
          <w:p w:rsidR="00B930F8" w:rsidRDefault="007C4831">
            <w:r>
              <w:t>10 weeks:</w:t>
            </w:r>
          </w:p>
          <w:p w:rsidR="007C4831" w:rsidRDefault="00DE60BD" w:rsidP="00147FA3">
            <w:r>
              <w:t>1</w:t>
            </w:r>
            <w:r w:rsidR="00370B25">
              <w:t>/</w:t>
            </w:r>
            <w:r w:rsidR="00147FA3">
              <w:t>25</w:t>
            </w:r>
            <w:r w:rsidR="00370B25">
              <w:t>-</w:t>
            </w:r>
            <w:r w:rsidR="00147FA3">
              <w:t>4/1</w:t>
            </w:r>
          </w:p>
        </w:tc>
        <w:tc>
          <w:tcPr>
            <w:tcW w:w="2889" w:type="dxa"/>
            <w:tcBorders>
              <w:top w:val="single" w:sz="4" w:space="0" w:color="auto"/>
              <w:left w:val="single" w:sz="4" w:space="0" w:color="auto"/>
              <w:bottom w:val="single" w:sz="4" w:space="0" w:color="auto"/>
              <w:right w:val="single" w:sz="4" w:space="0" w:color="auto"/>
            </w:tcBorders>
          </w:tcPr>
          <w:p w:rsidR="00B930F8" w:rsidRDefault="00581A77">
            <w:r w:rsidRPr="009C7675">
              <w:rPr>
                <w:b/>
                <w:i/>
              </w:rPr>
              <w:t>A Streetcar Named Desire</w:t>
            </w:r>
            <w:r w:rsidRPr="009C7675">
              <w:rPr>
                <w:b/>
              </w:rPr>
              <w:t xml:space="preserve"> by Tennessee Williams</w:t>
            </w:r>
            <w:r>
              <w:t xml:space="preserve"> (play), 1947</w:t>
            </w:r>
          </w:p>
        </w:tc>
        <w:tc>
          <w:tcPr>
            <w:tcW w:w="2542" w:type="dxa"/>
            <w:tcBorders>
              <w:top w:val="single" w:sz="4" w:space="0" w:color="auto"/>
              <w:left w:val="single" w:sz="4" w:space="0" w:color="auto"/>
              <w:bottom w:val="single" w:sz="4" w:space="0" w:color="auto"/>
              <w:right w:val="single" w:sz="4" w:space="0" w:color="auto"/>
            </w:tcBorders>
          </w:tcPr>
          <w:p w:rsidR="00147FA3" w:rsidRDefault="00147FA3" w:rsidP="00530349">
            <w:pPr>
              <w:pStyle w:val="ListParagraph"/>
              <w:ind w:left="0"/>
              <w:rPr>
                <w:rFonts w:cstheme="minorHAnsi"/>
              </w:rPr>
            </w:pPr>
            <w:r w:rsidRPr="00530349">
              <w:rPr>
                <w:rFonts w:cstheme="minorHAnsi"/>
                <w:b/>
              </w:rPr>
              <w:t xml:space="preserve">One Act Play: </w:t>
            </w:r>
            <w:r>
              <w:rPr>
                <w:rFonts w:cstheme="minorHAnsi"/>
              </w:rPr>
              <w:t>Students will write and publish a One Act Play as part of their STEM PBL.</w:t>
            </w:r>
          </w:p>
          <w:p w:rsidR="00530349" w:rsidRPr="00530349" w:rsidRDefault="00530349" w:rsidP="00530349">
            <w:pPr>
              <w:pStyle w:val="ListParagraph"/>
              <w:ind w:left="0"/>
              <w:rPr>
                <w:rFonts w:cstheme="minorHAnsi"/>
                <w:b/>
              </w:rPr>
            </w:pPr>
            <w:r w:rsidRPr="00530349">
              <w:rPr>
                <w:rFonts w:cstheme="minorHAnsi"/>
                <w:b/>
              </w:rPr>
              <w:t>Informational Writing:</w:t>
            </w:r>
          </w:p>
          <w:p w:rsidR="00530349" w:rsidRDefault="00530349" w:rsidP="00530349">
            <w:pPr>
              <w:pStyle w:val="ListParagraph"/>
              <w:ind w:left="0"/>
              <w:rPr>
                <w:rFonts w:cstheme="minorHAnsi"/>
              </w:rPr>
            </w:pPr>
            <w:r w:rsidRPr="00530349">
              <w:rPr>
                <w:rFonts w:cstheme="minorHAnsi"/>
              </w:rPr>
              <w:t>Students research a variety of reviews of productions of a drama, evaluating how each director’s production choices influenced the critics’ responses.</w:t>
            </w:r>
          </w:p>
          <w:p w:rsidR="00530349" w:rsidRPr="00530349" w:rsidRDefault="00530349" w:rsidP="00530349">
            <w:pPr>
              <w:pStyle w:val="ListParagraph"/>
              <w:ind w:left="0"/>
              <w:rPr>
                <w:rFonts w:cstheme="minorHAnsi"/>
                <w:sz w:val="20"/>
                <w:szCs w:val="20"/>
              </w:rPr>
            </w:pPr>
          </w:p>
        </w:tc>
        <w:tc>
          <w:tcPr>
            <w:tcW w:w="1412" w:type="dxa"/>
            <w:tcBorders>
              <w:top w:val="single" w:sz="4" w:space="0" w:color="auto"/>
              <w:left w:val="single" w:sz="4" w:space="0" w:color="auto"/>
              <w:bottom w:val="single" w:sz="4" w:space="0" w:color="auto"/>
              <w:right w:val="single" w:sz="4" w:space="0" w:color="auto"/>
            </w:tcBorders>
          </w:tcPr>
          <w:p w:rsidR="00530349" w:rsidRDefault="00A81F05">
            <w:r>
              <w:t>2/1</w:t>
            </w:r>
            <w:r w:rsidR="00147FA3">
              <w:t>2</w:t>
            </w:r>
            <w:r>
              <w:t>/16</w:t>
            </w:r>
          </w:p>
          <w:p w:rsidR="00530349" w:rsidRDefault="00530349"/>
          <w:p w:rsidR="00530349" w:rsidRDefault="00530349"/>
          <w:p w:rsidR="00DE60BD" w:rsidRDefault="00DE60BD"/>
          <w:p w:rsidR="00B930F8" w:rsidRDefault="00DE60BD">
            <w:r>
              <w:t>3/18</w:t>
            </w:r>
            <w:r w:rsidR="00530349">
              <w:t>/15</w:t>
            </w:r>
          </w:p>
        </w:tc>
      </w:tr>
      <w:tr w:rsidR="00B930F8" w:rsidTr="00147FA3">
        <w:tc>
          <w:tcPr>
            <w:tcW w:w="1678" w:type="dxa"/>
            <w:tcBorders>
              <w:top w:val="single" w:sz="4" w:space="0" w:color="auto"/>
              <w:left w:val="single" w:sz="4" w:space="0" w:color="auto"/>
              <w:bottom w:val="single" w:sz="4" w:space="0" w:color="auto"/>
              <w:right w:val="single" w:sz="4" w:space="0" w:color="auto"/>
            </w:tcBorders>
          </w:tcPr>
          <w:p w:rsidR="00B930F8" w:rsidRDefault="00227626">
            <w:r>
              <w:t>Study of Satire</w:t>
            </w:r>
          </w:p>
          <w:p w:rsidR="00253F4C" w:rsidRDefault="00253F4C">
            <w:r>
              <w:t>and ACT preparation</w:t>
            </w:r>
          </w:p>
        </w:tc>
        <w:tc>
          <w:tcPr>
            <w:tcW w:w="1549" w:type="dxa"/>
            <w:tcBorders>
              <w:top w:val="single" w:sz="4" w:space="0" w:color="auto"/>
              <w:left w:val="single" w:sz="4" w:space="0" w:color="auto"/>
              <w:bottom w:val="single" w:sz="4" w:space="0" w:color="auto"/>
              <w:right w:val="single" w:sz="4" w:space="0" w:color="auto"/>
            </w:tcBorders>
          </w:tcPr>
          <w:p w:rsidR="00B930F8" w:rsidRDefault="00253F4C">
            <w:r>
              <w:t>8</w:t>
            </w:r>
            <w:r w:rsidR="00227626">
              <w:t xml:space="preserve"> weeks:</w:t>
            </w:r>
          </w:p>
          <w:p w:rsidR="00227626" w:rsidRDefault="00147FA3">
            <w:r>
              <w:t>4/4-5/24</w:t>
            </w:r>
          </w:p>
        </w:tc>
        <w:tc>
          <w:tcPr>
            <w:tcW w:w="2889" w:type="dxa"/>
            <w:tcBorders>
              <w:top w:val="single" w:sz="4" w:space="0" w:color="auto"/>
              <w:left w:val="single" w:sz="4" w:space="0" w:color="auto"/>
              <w:bottom w:val="single" w:sz="4" w:space="0" w:color="auto"/>
              <w:right w:val="single" w:sz="4" w:space="0" w:color="auto"/>
            </w:tcBorders>
          </w:tcPr>
          <w:p w:rsidR="009C7675" w:rsidRPr="00042A94" w:rsidRDefault="009C7675" w:rsidP="009C7675">
            <w:r w:rsidRPr="009C7675">
              <w:rPr>
                <w:b/>
              </w:rPr>
              <w:t>“War Prayer”</w:t>
            </w:r>
            <w:r w:rsidRPr="00042A94">
              <w:t xml:space="preserve"> (short story, 1904) by Mark Twain</w:t>
            </w:r>
          </w:p>
          <w:p w:rsidR="009C7675" w:rsidRPr="00042A94" w:rsidRDefault="009C7675" w:rsidP="009C7675">
            <w:r w:rsidRPr="009C7675">
              <w:rPr>
                <w:b/>
              </w:rPr>
              <w:t>“When May I Shoot a Student?”</w:t>
            </w:r>
            <w:r w:rsidRPr="00042A94">
              <w:t xml:space="preserve"> (article, 2014) by Greg </w:t>
            </w:r>
            <w:proofErr w:type="spellStart"/>
            <w:r w:rsidRPr="00042A94">
              <w:t>Hampikian</w:t>
            </w:r>
            <w:proofErr w:type="spellEnd"/>
          </w:p>
          <w:p w:rsidR="009C7675" w:rsidRPr="00042A94" w:rsidRDefault="009C7675" w:rsidP="009C7675">
            <w:r w:rsidRPr="009C7675">
              <w:rPr>
                <w:b/>
              </w:rPr>
              <w:t>Various Cartoons and Commentary</w:t>
            </w:r>
            <w:r w:rsidRPr="00042A94">
              <w:t xml:space="preserve"> by Daryl Cagle</w:t>
            </w:r>
          </w:p>
          <w:p w:rsidR="00B930F8" w:rsidRDefault="00B930F8">
            <w:pPr>
              <w:rPr>
                <w:b/>
              </w:rPr>
            </w:pPr>
          </w:p>
        </w:tc>
        <w:tc>
          <w:tcPr>
            <w:tcW w:w="2542" w:type="dxa"/>
            <w:tcBorders>
              <w:top w:val="single" w:sz="4" w:space="0" w:color="auto"/>
              <w:left w:val="single" w:sz="4" w:space="0" w:color="auto"/>
              <w:bottom w:val="single" w:sz="4" w:space="0" w:color="auto"/>
              <w:right w:val="single" w:sz="4" w:space="0" w:color="auto"/>
            </w:tcBorders>
          </w:tcPr>
          <w:p w:rsidR="00253F4C" w:rsidRDefault="00253F4C" w:rsidP="00253F4C">
            <w:r w:rsidRPr="0059690D">
              <w:rPr>
                <w:b/>
              </w:rPr>
              <w:t>Analysis of Audio/Visual Satires:</w:t>
            </w:r>
            <w:r>
              <w:t xml:space="preserve"> Students evaluate the speaker’s point of view, reasoning, and use of evidence, as well as audience response to evaluate effectiveness of satires.</w:t>
            </w:r>
          </w:p>
          <w:p w:rsidR="00B930F8" w:rsidRDefault="00253F4C" w:rsidP="00253F4C">
            <w:pPr>
              <w:pStyle w:val="ListParagraph"/>
              <w:ind w:left="0"/>
              <w:rPr>
                <w:rFonts w:cstheme="minorHAnsi"/>
                <w:sz w:val="20"/>
                <w:szCs w:val="20"/>
              </w:rPr>
            </w:pPr>
            <w:r w:rsidRPr="0059690D">
              <w:rPr>
                <w:b/>
              </w:rPr>
              <w:lastRenderedPageBreak/>
              <w:t>Satire:</w:t>
            </w:r>
            <w:r>
              <w:t xml:space="preserve"> Students create or analyze a piece of satire demonstrating knowledge of satirical techniques such as caricature, exaggeration, incongruity, juxtaposition, reduction, and irony.</w:t>
            </w:r>
          </w:p>
        </w:tc>
        <w:tc>
          <w:tcPr>
            <w:tcW w:w="1412" w:type="dxa"/>
            <w:tcBorders>
              <w:top w:val="single" w:sz="4" w:space="0" w:color="auto"/>
              <w:left w:val="single" w:sz="4" w:space="0" w:color="auto"/>
              <w:bottom w:val="single" w:sz="4" w:space="0" w:color="auto"/>
              <w:right w:val="single" w:sz="4" w:space="0" w:color="auto"/>
            </w:tcBorders>
          </w:tcPr>
          <w:p w:rsidR="003370F5" w:rsidRDefault="003370F5">
            <w:r>
              <w:lastRenderedPageBreak/>
              <w:t>4/23/15</w:t>
            </w:r>
          </w:p>
          <w:p w:rsidR="003370F5" w:rsidRDefault="003370F5"/>
          <w:p w:rsidR="003370F5" w:rsidRDefault="003370F5"/>
          <w:p w:rsidR="003370F5" w:rsidRDefault="003370F5"/>
          <w:p w:rsidR="003370F5" w:rsidRDefault="003370F5"/>
          <w:p w:rsidR="003370F5" w:rsidRDefault="003370F5"/>
          <w:p w:rsidR="003370F5" w:rsidRDefault="003370F5"/>
          <w:p w:rsidR="003370F5" w:rsidRDefault="003370F5"/>
          <w:p w:rsidR="003370F5" w:rsidRDefault="003370F5">
            <w:r>
              <w:lastRenderedPageBreak/>
              <w:t>5/22/15</w:t>
            </w:r>
          </w:p>
        </w:tc>
      </w:tr>
      <w:tr w:rsidR="00B930F8" w:rsidTr="00147FA3">
        <w:tc>
          <w:tcPr>
            <w:tcW w:w="10070" w:type="dxa"/>
            <w:gridSpan w:val="5"/>
            <w:tcBorders>
              <w:top w:val="single" w:sz="4" w:space="0" w:color="auto"/>
              <w:left w:val="single" w:sz="4" w:space="0" w:color="auto"/>
              <w:bottom w:val="single" w:sz="4" w:space="0" w:color="auto"/>
              <w:right w:val="single" w:sz="4" w:space="0" w:color="auto"/>
            </w:tcBorders>
            <w:vAlign w:val="center"/>
            <w:hideMark/>
          </w:tcPr>
          <w:p w:rsidR="00B930F8" w:rsidRDefault="00B930F8">
            <w:r>
              <w:rPr>
                <w:rFonts w:cstheme="minorHAnsi"/>
                <w:b/>
              </w:rPr>
              <w:lastRenderedPageBreak/>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p>
        </w:tc>
      </w:tr>
    </w:tbl>
    <w:p w:rsidR="00147FA3" w:rsidRPr="008C33A9" w:rsidRDefault="00147FA3" w:rsidP="00147FA3">
      <w:pPr>
        <w:shd w:val="clear" w:color="auto" w:fill="FFFFFF"/>
        <w:rPr>
          <w:rFonts w:ascii="Arial" w:eastAsia="Times New Roman" w:hAnsi="Arial" w:cs="Arial"/>
          <w:color w:val="222222"/>
          <w:sz w:val="19"/>
          <w:szCs w:val="19"/>
        </w:rPr>
      </w:pPr>
      <w:r w:rsidRPr="008C33A9">
        <w:rPr>
          <w:rFonts w:ascii="Arial" w:eastAsia="Times New Roman" w:hAnsi="Arial" w:cs="Arial"/>
          <w:b/>
          <w:bCs/>
          <w:color w:val="222222"/>
          <w:sz w:val="19"/>
          <w:szCs w:val="19"/>
        </w:rPr>
        <w:t>For additional information regarding primary texts in alignment with Superintendent Policy 6230, the links below are intended to provide families with multiple perspectives</w:t>
      </w:r>
    </w:p>
    <w:p w:rsidR="00147FA3" w:rsidRPr="008C33A9" w:rsidRDefault="00147FA3" w:rsidP="00147FA3">
      <w:pPr>
        <w:shd w:val="clear" w:color="auto" w:fill="FFFFFF"/>
        <w:rPr>
          <w:rFonts w:ascii="Arial" w:eastAsia="Times New Roman" w:hAnsi="Arial" w:cs="Arial"/>
          <w:color w:val="222222"/>
          <w:sz w:val="19"/>
          <w:szCs w:val="19"/>
        </w:rPr>
      </w:pPr>
      <w:r w:rsidRPr="008C33A9">
        <w:rPr>
          <w:rFonts w:ascii="Arial" w:eastAsia="Times New Roman" w:hAnsi="Arial" w:cs="Arial"/>
          <w:i/>
          <w:iCs/>
          <w:color w:val="222222"/>
          <w:sz w:val="19"/>
          <w:szCs w:val="19"/>
        </w:rPr>
        <w:t>(The opinions and views expressed at or through these websites are the opinions of the designated authors and do not necessarily reflect the opinions or views of the classroom teacher.)</w:t>
      </w:r>
    </w:p>
    <w:p w:rsidR="001D02DE" w:rsidRPr="006B0CF1" w:rsidRDefault="001D02DE" w:rsidP="001D02DE">
      <w:pPr>
        <w:rPr>
          <w:b/>
        </w:rPr>
      </w:pPr>
      <w:r w:rsidRPr="006B0CF1">
        <w:rPr>
          <w:b/>
        </w:rPr>
        <w:t>For additional information rega</w:t>
      </w:r>
      <w:r>
        <w:rPr>
          <w:b/>
        </w:rPr>
        <w:t>rding primary texts please visit:</w:t>
      </w:r>
    </w:p>
    <w:p w:rsidR="001D02DE" w:rsidRPr="00B51C71" w:rsidRDefault="001D02DE" w:rsidP="001D02DE">
      <w:pPr>
        <w:pStyle w:val="ListParagraph"/>
        <w:numPr>
          <w:ilvl w:val="0"/>
          <w:numId w:val="2"/>
        </w:numPr>
      </w:pPr>
      <w:r w:rsidRPr="00B51C71">
        <w:t xml:space="preserve">Amazon book reviews: </w:t>
      </w:r>
      <w:hyperlink r:id="rId9" w:history="1">
        <w:r w:rsidRPr="00B51C71">
          <w:rPr>
            <w:rStyle w:val="Hyperlink"/>
          </w:rPr>
          <w:t>www.amazon.com</w:t>
        </w:r>
      </w:hyperlink>
    </w:p>
    <w:p w:rsidR="001D02DE" w:rsidRPr="00B51C71" w:rsidRDefault="001D02DE" w:rsidP="001D02DE">
      <w:pPr>
        <w:pStyle w:val="ListParagraph"/>
        <w:numPr>
          <w:ilvl w:val="0"/>
          <w:numId w:val="2"/>
        </w:numPr>
        <w:rPr>
          <w:u w:val="single"/>
        </w:rPr>
      </w:pPr>
      <w:r w:rsidRPr="00B51C71">
        <w:t xml:space="preserve">Goodreads.com:  </w:t>
      </w:r>
      <w:hyperlink r:id="rId10" w:history="1">
        <w:r w:rsidRPr="00B51C71">
          <w:rPr>
            <w:rStyle w:val="Hyperlink"/>
          </w:rPr>
          <w:t>www.goodreads.com</w:t>
        </w:r>
      </w:hyperlink>
    </w:p>
    <w:p w:rsidR="001D02DE" w:rsidRPr="00B51C71" w:rsidRDefault="001D02DE" w:rsidP="001D02DE">
      <w:pPr>
        <w:pStyle w:val="ListParagraph"/>
        <w:numPr>
          <w:ilvl w:val="0"/>
          <w:numId w:val="2"/>
        </w:numPr>
        <w:rPr>
          <w:u w:val="single"/>
        </w:rPr>
      </w:pPr>
      <w:r w:rsidRPr="00B51C71">
        <w:t xml:space="preserve">Common Sense Media: </w:t>
      </w:r>
      <w:hyperlink r:id="rId11" w:history="1">
        <w:r w:rsidR="008547ED" w:rsidRPr="004265B4">
          <w:rPr>
            <w:rStyle w:val="Hyperlink"/>
          </w:rPr>
          <w:t>www.commonsensemedia.org</w:t>
        </w:r>
      </w:hyperlink>
    </w:p>
    <w:p w:rsidR="00334458" w:rsidRPr="00CD7CA8" w:rsidRDefault="001D02DE" w:rsidP="00CD7CA8">
      <w:pPr>
        <w:pStyle w:val="ListParagraph"/>
        <w:numPr>
          <w:ilvl w:val="0"/>
          <w:numId w:val="2"/>
        </w:numPr>
        <w:rPr>
          <w:u w:val="single"/>
        </w:rPr>
      </w:pPr>
      <w:r>
        <w:t>Thriving Family--A F</w:t>
      </w:r>
      <w:r w:rsidRPr="00B51C71">
        <w:t xml:space="preserve">ocus on the Family publication: </w:t>
      </w:r>
      <w:hyperlink r:id="rId12" w:history="1">
        <w:r w:rsidRPr="00B51C71">
          <w:rPr>
            <w:rStyle w:val="Hyperlink"/>
          </w:rPr>
          <w:t>www.thrivingfamily.com/family/Media.aspx</w:t>
        </w:r>
      </w:hyperlink>
      <w:r w:rsidRPr="00B51C71">
        <w:t xml:space="preserve"> </w:t>
      </w:r>
    </w:p>
    <w:tbl>
      <w:tblPr>
        <w:tblStyle w:val="TableGrid"/>
        <w:tblW w:w="9990" w:type="dxa"/>
        <w:tblInd w:w="-72" w:type="dxa"/>
        <w:tblLayout w:type="fixed"/>
        <w:tblLook w:val="04A0" w:firstRow="1" w:lastRow="0" w:firstColumn="1" w:lastColumn="0" w:noHBand="0" w:noVBand="1"/>
      </w:tblPr>
      <w:tblGrid>
        <w:gridCol w:w="558"/>
        <w:gridCol w:w="1437"/>
        <w:gridCol w:w="1425"/>
        <w:gridCol w:w="1440"/>
        <w:gridCol w:w="4050"/>
        <w:gridCol w:w="1080"/>
      </w:tblGrid>
      <w:tr w:rsidR="004E077F" w:rsidTr="00E45C94">
        <w:tc>
          <w:tcPr>
            <w:tcW w:w="1995" w:type="dxa"/>
            <w:gridSpan w:val="2"/>
            <w:shd w:val="clear" w:color="auto" w:fill="D9D9D9" w:themeFill="background1" w:themeFillShade="D9"/>
          </w:tcPr>
          <w:p w:rsidR="004E077F" w:rsidRDefault="004E077F" w:rsidP="00E45C94">
            <w:pPr>
              <w:rPr>
                <w:b/>
                <w:sz w:val="20"/>
                <w:szCs w:val="20"/>
              </w:rPr>
            </w:pPr>
            <w:r w:rsidRPr="00B60605">
              <w:rPr>
                <w:b/>
                <w:sz w:val="20"/>
                <w:szCs w:val="20"/>
              </w:rPr>
              <w:t>Grading Scale</w:t>
            </w:r>
          </w:p>
          <w:p w:rsidR="004E077F" w:rsidRPr="00B60605" w:rsidRDefault="004E077F" w:rsidP="00E45C94">
            <w:pPr>
              <w:rPr>
                <w:b/>
                <w:sz w:val="20"/>
                <w:szCs w:val="20"/>
              </w:rPr>
            </w:pPr>
            <w:r>
              <w:rPr>
                <w:b/>
                <w:sz w:val="20"/>
                <w:szCs w:val="20"/>
              </w:rPr>
              <w:t>(District-wide)</w:t>
            </w:r>
          </w:p>
        </w:tc>
        <w:tc>
          <w:tcPr>
            <w:tcW w:w="1425" w:type="dxa"/>
            <w:tcBorders>
              <w:bottom w:val="single" w:sz="4" w:space="0" w:color="auto"/>
            </w:tcBorders>
            <w:shd w:val="clear" w:color="auto" w:fill="D9D9D9" w:themeFill="background1" w:themeFillShade="D9"/>
          </w:tcPr>
          <w:p w:rsidR="004E077F" w:rsidRPr="00B60605" w:rsidRDefault="004E077F" w:rsidP="00E45C94">
            <w:pPr>
              <w:rPr>
                <w:b/>
                <w:sz w:val="20"/>
                <w:szCs w:val="20"/>
              </w:rPr>
            </w:pPr>
            <w:r>
              <w:rPr>
                <w:b/>
                <w:sz w:val="20"/>
                <w:szCs w:val="20"/>
              </w:rPr>
              <w:t>Standards-Referenced Mark</w:t>
            </w:r>
          </w:p>
        </w:tc>
        <w:tc>
          <w:tcPr>
            <w:tcW w:w="1440" w:type="dxa"/>
            <w:tcBorders>
              <w:bottom w:val="single" w:sz="4" w:space="0" w:color="auto"/>
            </w:tcBorders>
            <w:shd w:val="clear" w:color="auto" w:fill="D9D9D9" w:themeFill="background1" w:themeFillShade="D9"/>
          </w:tcPr>
          <w:p w:rsidR="004E077F" w:rsidRPr="00B60605" w:rsidRDefault="004E077F" w:rsidP="00E45C94">
            <w:pPr>
              <w:rPr>
                <w:b/>
                <w:sz w:val="20"/>
                <w:szCs w:val="20"/>
              </w:rPr>
            </w:pPr>
            <w:r>
              <w:rPr>
                <w:b/>
                <w:sz w:val="20"/>
                <w:szCs w:val="20"/>
              </w:rPr>
              <w:t>Corresponding Percentage</w:t>
            </w:r>
          </w:p>
        </w:tc>
        <w:tc>
          <w:tcPr>
            <w:tcW w:w="5130" w:type="dxa"/>
            <w:gridSpan w:val="2"/>
            <w:vMerge w:val="restart"/>
            <w:shd w:val="clear" w:color="auto" w:fill="D9D9D9" w:themeFill="background1" w:themeFillShade="D9"/>
          </w:tcPr>
          <w:p w:rsidR="004E077F" w:rsidRPr="00B60605" w:rsidRDefault="004E077F" w:rsidP="00E45C94">
            <w:pPr>
              <w:rPr>
                <w:b/>
                <w:sz w:val="20"/>
                <w:szCs w:val="20"/>
              </w:rPr>
            </w:pPr>
            <w:r w:rsidRPr="00B60605">
              <w:rPr>
                <w:b/>
                <w:sz w:val="20"/>
                <w:szCs w:val="20"/>
              </w:rPr>
              <w:t>Grade Percentages/Weights</w:t>
            </w:r>
          </w:p>
        </w:tc>
      </w:tr>
      <w:tr w:rsidR="004E077F" w:rsidTr="00E45C94">
        <w:trPr>
          <w:trHeight w:val="70"/>
        </w:trPr>
        <w:tc>
          <w:tcPr>
            <w:tcW w:w="558" w:type="dxa"/>
            <w:shd w:val="clear" w:color="auto" w:fill="D9D9D9" w:themeFill="background1" w:themeFillShade="D9"/>
          </w:tcPr>
          <w:p w:rsidR="004E077F" w:rsidRPr="00B60605" w:rsidRDefault="004E077F" w:rsidP="00E45C94">
            <w:pPr>
              <w:rPr>
                <w:b/>
                <w:sz w:val="20"/>
                <w:szCs w:val="20"/>
              </w:rPr>
            </w:pPr>
          </w:p>
        </w:tc>
        <w:tc>
          <w:tcPr>
            <w:tcW w:w="1437" w:type="dxa"/>
          </w:tcPr>
          <w:p w:rsidR="004E077F" w:rsidRPr="00B60605" w:rsidRDefault="004E077F" w:rsidP="00E45C94">
            <w:pPr>
              <w:jc w:val="center"/>
              <w:rPr>
                <w:rFonts w:cstheme="minorHAnsi"/>
                <w:sz w:val="20"/>
                <w:szCs w:val="20"/>
              </w:rPr>
            </w:pPr>
            <w:r>
              <w:rPr>
                <w:rFonts w:cstheme="minorHAnsi"/>
                <w:sz w:val="20"/>
                <w:szCs w:val="20"/>
              </w:rPr>
              <w:t>Percentage</w:t>
            </w:r>
          </w:p>
        </w:tc>
        <w:tc>
          <w:tcPr>
            <w:tcW w:w="1425" w:type="dxa"/>
            <w:shd w:val="clear" w:color="auto" w:fill="auto"/>
          </w:tcPr>
          <w:p w:rsidR="004E077F" w:rsidRPr="00101553" w:rsidRDefault="004E077F" w:rsidP="00E45C94">
            <w:pPr>
              <w:jc w:val="center"/>
              <w:rPr>
                <w:b/>
                <w:sz w:val="20"/>
                <w:szCs w:val="20"/>
              </w:rPr>
            </w:pPr>
            <w:r w:rsidRPr="00101553">
              <w:rPr>
                <w:rFonts w:eastAsiaTheme="minorEastAsia" w:cs="Arial"/>
                <w:color w:val="1A1A1A"/>
                <w:sz w:val="20"/>
                <w:szCs w:val="20"/>
              </w:rPr>
              <w:t>4.00</w:t>
            </w:r>
          </w:p>
        </w:tc>
        <w:tc>
          <w:tcPr>
            <w:tcW w:w="1440" w:type="dxa"/>
            <w:shd w:val="clear" w:color="auto" w:fill="auto"/>
          </w:tcPr>
          <w:p w:rsidR="004E077F" w:rsidRPr="00101553" w:rsidRDefault="004E077F" w:rsidP="00E45C94">
            <w:pPr>
              <w:jc w:val="center"/>
              <w:rPr>
                <w:b/>
                <w:sz w:val="20"/>
                <w:szCs w:val="20"/>
              </w:rPr>
            </w:pPr>
            <w:r w:rsidRPr="00101553">
              <w:rPr>
                <w:rFonts w:eastAsiaTheme="minorEastAsia" w:cs="Arial"/>
                <w:color w:val="1A1A1A"/>
                <w:sz w:val="20"/>
                <w:szCs w:val="20"/>
              </w:rPr>
              <w:t>98%</w:t>
            </w:r>
          </w:p>
        </w:tc>
        <w:tc>
          <w:tcPr>
            <w:tcW w:w="5130" w:type="dxa"/>
            <w:gridSpan w:val="2"/>
            <w:vMerge/>
            <w:shd w:val="clear" w:color="auto" w:fill="D9D9D9" w:themeFill="background1" w:themeFillShade="D9"/>
          </w:tcPr>
          <w:p w:rsidR="004E077F" w:rsidRDefault="004E077F" w:rsidP="00E45C94">
            <w:pPr>
              <w:jc w:val="center"/>
              <w:rPr>
                <w:rFonts w:cstheme="minorHAnsi"/>
                <w:b/>
                <w:sz w:val="20"/>
                <w:szCs w:val="20"/>
              </w:rPr>
            </w:pPr>
          </w:p>
        </w:tc>
      </w:tr>
      <w:tr w:rsidR="004E077F" w:rsidTr="00E45C94">
        <w:tc>
          <w:tcPr>
            <w:tcW w:w="558" w:type="dxa"/>
            <w:shd w:val="clear" w:color="auto" w:fill="D9D9D9" w:themeFill="background1" w:themeFillShade="D9"/>
          </w:tcPr>
          <w:p w:rsidR="004E077F" w:rsidRPr="00B60605" w:rsidRDefault="004E077F" w:rsidP="00E45C94">
            <w:pPr>
              <w:rPr>
                <w:b/>
                <w:sz w:val="20"/>
                <w:szCs w:val="20"/>
              </w:rPr>
            </w:pPr>
            <w:r w:rsidRPr="00B60605">
              <w:rPr>
                <w:b/>
                <w:sz w:val="20"/>
                <w:szCs w:val="20"/>
              </w:rPr>
              <w:t>A</w:t>
            </w:r>
          </w:p>
        </w:tc>
        <w:tc>
          <w:tcPr>
            <w:tcW w:w="1437" w:type="dxa"/>
          </w:tcPr>
          <w:p w:rsidR="004E077F" w:rsidRPr="00B60605" w:rsidRDefault="004E077F" w:rsidP="00E45C94">
            <w:pPr>
              <w:jc w:val="center"/>
              <w:rPr>
                <w:rFonts w:cstheme="minorHAnsi"/>
                <w:sz w:val="20"/>
                <w:szCs w:val="20"/>
              </w:rPr>
            </w:pPr>
            <w:r w:rsidRPr="00B60605">
              <w:rPr>
                <w:rFonts w:cstheme="minorHAnsi"/>
                <w:sz w:val="20"/>
                <w:szCs w:val="20"/>
              </w:rPr>
              <w:t>90-100</w:t>
            </w:r>
            <w:r>
              <w:rPr>
                <w:rFonts w:cstheme="minorHAnsi"/>
                <w:sz w:val="20"/>
                <w:szCs w:val="20"/>
              </w:rPr>
              <w:t>%</w:t>
            </w:r>
          </w:p>
        </w:tc>
        <w:tc>
          <w:tcPr>
            <w:tcW w:w="1425" w:type="dxa"/>
            <w:shd w:val="clear" w:color="auto" w:fill="auto"/>
          </w:tcPr>
          <w:p w:rsidR="004E077F" w:rsidRPr="00101553" w:rsidRDefault="004E077F" w:rsidP="00E45C94">
            <w:pPr>
              <w:jc w:val="center"/>
              <w:rPr>
                <w:b/>
                <w:sz w:val="20"/>
                <w:szCs w:val="20"/>
              </w:rPr>
            </w:pPr>
            <w:r w:rsidRPr="00101553">
              <w:rPr>
                <w:rFonts w:eastAsiaTheme="minorEastAsia" w:cs="Arial"/>
                <w:color w:val="1A1A1A"/>
                <w:sz w:val="20"/>
                <w:szCs w:val="20"/>
              </w:rPr>
              <w:t>3.75</w:t>
            </w:r>
          </w:p>
        </w:tc>
        <w:tc>
          <w:tcPr>
            <w:tcW w:w="1440" w:type="dxa"/>
            <w:shd w:val="clear" w:color="auto" w:fill="auto"/>
          </w:tcPr>
          <w:p w:rsidR="004E077F" w:rsidRPr="00101553" w:rsidRDefault="004E077F" w:rsidP="00E45C94">
            <w:pPr>
              <w:jc w:val="center"/>
              <w:rPr>
                <w:b/>
                <w:sz w:val="20"/>
                <w:szCs w:val="20"/>
              </w:rPr>
            </w:pPr>
            <w:r w:rsidRPr="00101553">
              <w:rPr>
                <w:rFonts w:eastAsiaTheme="minorEastAsia" w:cs="Arial"/>
                <w:color w:val="1A1A1A"/>
                <w:sz w:val="20"/>
                <w:szCs w:val="20"/>
              </w:rPr>
              <w:t>95%</w:t>
            </w:r>
          </w:p>
        </w:tc>
        <w:tc>
          <w:tcPr>
            <w:tcW w:w="4050" w:type="dxa"/>
            <w:shd w:val="clear" w:color="auto" w:fill="D9D9D9" w:themeFill="background1" w:themeFillShade="D9"/>
          </w:tcPr>
          <w:p w:rsidR="004E077F" w:rsidRPr="00B60605" w:rsidRDefault="004E077F" w:rsidP="00E45C94">
            <w:pPr>
              <w:rPr>
                <w:b/>
                <w:sz w:val="20"/>
                <w:szCs w:val="20"/>
              </w:rPr>
            </w:pPr>
            <w:r>
              <w:rPr>
                <w:b/>
                <w:sz w:val="20"/>
                <w:szCs w:val="20"/>
              </w:rPr>
              <w:t>Summative Assessments &amp; Projects</w:t>
            </w:r>
          </w:p>
        </w:tc>
        <w:tc>
          <w:tcPr>
            <w:tcW w:w="1080" w:type="dxa"/>
          </w:tcPr>
          <w:p w:rsidR="004E077F" w:rsidRPr="00B60605" w:rsidRDefault="004E077F" w:rsidP="00E45C94">
            <w:pPr>
              <w:jc w:val="center"/>
              <w:rPr>
                <w:rFonts w:cstheme="minorHAnsi"/>
                <w:b/>
                <w:sz w:val="20"/>
                <w:szCs w:val="20"/>
              </w:rPr>
            </w:pPr>
            <w:r>
              <w:rPr>
                <w:rFonts w:cstheme="minorHAnsi"/>
                <w:b/>
                <w:sz w:val="20"/>
                <w:szCs w:val="20"/>
              </w:rPr>
              <w:t>80%</w:t>
            </w:r>
          </w:p>
        </w:tc>
      </w:tr>
      <w:tr w:rsidR="004E077F" w:rsidTr="00E45C94">
        <w:tc>
          <w:tcPr>
            <w:tcW w:w="558" w:type="dxa"/>
            <w:shd w:val="clear" w:color="auto" w:fill="D9D9D9" w:themeFill="background1" w:themeFillShade="D9"/>
          </w:tcPr>
          <w:p w:rsidR="004E077F" w:rsidRPr="00B60605" w:rsidRDefault="004E077F" w:rsidP="00E45C94">
            <w:pPr>
              <w:rPr>
                <w:b/>
                <w:sz w:val="20"/>
                <w:szCs w:val="20"/>
              </w:rPr>
            </w:pPr>
            <w:r w:rsidRPr="00B60605">
              <w:rPr>
                <w:b/>
                <w:sz w:val="20"/>
                <w:szCs w:val="20"/>
              </w:rPr>
              <w:t>B</w:t>
            </w:r>
          </w:p>
        </w:tc>
        <w:tc>
          <w:tcPr>
            <w:tcW w:w="1437" w:type="dxa"/>
          </w:tcPr>
          <w:p w:rsidR="004E077F" w:rsidRPr="00B60605" w:rsidRDefault="004E077F" w:rsidP="00E45C94">
            <w:pPr>
              <w:jc w:val="center"/>
              <w:rPr>
                <w:rFonts w:cstheme="minorHAnsi"/>
                <w:sz w:val="20"/>
                <w:szCs w:val="20"/>
              </w:rPr>
            </w:pPr>
            <w:r w:rsidRPr="00B60605">
              <w:rPr>
                <w:rFonts w:cstheme="minorHAnsi"/>
                <w:sz w:val="20"/>
                <w:szCs w:val="20"/>
              </w:rPr>
              <w:t>80-89</w:t>
            </w:r>
            <w:r>
              <w:rPr>
                <w:rFonts w:cstheme="minorHAnsi"/>
                <w:sz w:val="20"/>
                <w:szCs w:val="20"/>
              </w:rPr>
              <w:t>%</w:t>
            </w:r>
          </w:p>
        </w:tc>
        <w:tc>
          <w:tcPr>
            <w:tcW w:w="1425" w:type="dxa"/>
            <w:shd w:val="clear" w:color="auto" w:fill="auto"/>
          </w:tcPr>
          <w:p w:rsidR="004E077F" w:rsidRPr="00101553" w:rsidRDefault="004E077F" w:rsidP="00E45C94">
            <w:pPr>
              <w:jc w:val="center"/>
              <w:rPr>
                <w:b/>
                <w:sz w:val="20"/>
                <w:szCs w:val="20"/>
              </w:rPr>
            </w:pPr>
            <w:r w:rsidRPr="00101553">
              <w:rPr>
                <w:rFonts w:eastAsiaTheme="minorEastAsia" w:cs="Arial"/>
                <w:color w:val="1A1A1A"/>
                <w:sz w:val="20"/>
                <w:szCs w:val="20"/>
              </w:rPr>
              <w:t>3.50</w:t>
            </w:r>
          </w:p>
        </w:tc>
        <w:tc>
          <w:tcPr>
            <w:tcW w:w="1440" w:type="dxa"/>
            <w:shd w:val="clear" w:color="auto" w:fill="auto"/>
          </w:tcPr>
          <w:p w:rsidR="004E077F" w:rsidRPr="00101553" w:rsidRDefault="004E077F" w:rsidP="00E45C94">
            <w:pPr>
              <w:jc w:val="center"/>
              <w:rPr>
                <w:b/>
                <w:sz w:val="20"/>
                <w:szCs w:val="20"/>
              </w:rPr>
            </w:pPr>
            <w:r w:rsidRPr="00101553">
              <w:rPr>
                <w:rFonts w:eastAsiaTheme="minorEastAsia" w:cs="Arial"/>
                <w:color w:val="1A1A1A"/>
                <w:sz w:val="20"/>
                <w:szCs w:val="20"/>
              </w:rPr>
              <w:t>9</w:t>
            </w:r>
            <w:r>
              <w:rPr>
                <w:rFonts w:eastAsiaTheme="minorEastAsia" w:cs="Arial"/>
                <w:color w:val="1A1A1A"/>
                <w:sz w:val="20"/>
                <w:szCs w:val="20"/>
              </w:rPr>
              <w:t>3</w:t>
            </w:r>
            <w:r w:rsidRPr="00101553">
              <w:rPr>
                <w:rFonts w:eastAsiaTheme="minorEastAsia" w:cs="Arial"/>
                <w:color w:val="1A1A1A"/>
                <w:sz w:val="20"/>
                <w:szCs w:val="20"/>
              </w:rPr>
              <w:t>%</w:t>
            </w:r>
          </w:p>
        </w:tc>
        <w:tc>
          <w:tcPr>
            <w:tcW w:w="4050" w:type="dxa"/>
            <w:shd w:val="clear" w:color="auto" w:fill="D9D9D9" w:themeFill="background1" w:themeFillShade="D9"/>
          </w:tcPr>
          <w:p w:rsidR="004E077F" w:rsidRPr="00B60605" w:rsidRDefault="004E077F" w:rsidP="00E45C94">
            <w:pPr>
              <w:rPr>
                <w:b/>
                <w:sz w:val="20"/>
                <w:szCs w:val="20"/>
              </w:rPr>
            </w:pPr>
            <w:r>
              <w:rPr>
                <w:b/>
                <w:sz w:val="20"/>
                <w:szCs w:val="20"/>
              </w:rPr>
              <w:t>Formative Assessments &amp; Projects</w:t>
            </w:r>
          </w:p>
        </w:tc>
        <w:tc>
          <w:tcPr>
            <w:tcW w:w="1080" w:type="dxa"/>
          </w:tcPr>
          <w:p w:rsidR="004E077F" w:rsidRPr="00B60605" w:rsidRDefault="004E077F" w:rsidP="00E45C94">
            <w:pPr>
              <w:jc w:val="center"/>
              <w:rPr>
                <w:rFonts w:cstheme="minorHAnsi"/>
                <w:b/>
                <w:sz w:val="20"/>
                <w:szCs w:val="20"/>
              </w:rPr>
            </w:pPr>
            <w:r>
              <w:rPr>
                <w:rFonts w:cstheme="minorHAnsi"/>
                <w:b/>
                <w:sz w:val="20"/>
                <w:szCs w:val="20"/>
              </w:rPr>
              <w:t>20%</w:t>
            </w:r>
          </w:p>
        </w:tc>
      </w:tr>
      <w:tr w:rsidR="004E077F" w:rsidTr="00E45C94">
        <w:tc>
          <w:tcPr>
            <w:tcW w:w="558" w:type="dxa"/>
            <w:shd w:val="clear" w:color="auto" w:fill="D9D9D9" w:themeFill="background1" w:themeFillShade="D9"/>
          </w:tcPr>
          <w:p w:rsidR="004E077F" w:rsidRPr="00B60605" w:rsidRDefault="004E077F" w:rsidP="00E45C94">
            <w:pPr>
              <w:rPr>
                <w:b/>
                <w:sz w:val="20"/>
                <w:szCs w:val="20"/>
              </w:rPr>
            </w:pPr>
            <w:r w:rsidRPr="00B60605">
              <w:rPr>
                <w:b/>
                <w:sz w:val="20"/>
                <w:szCs w:val="20"/>
              </w:rPr>
              <w:t>C</w:t>
            </w:r>
          </w:p>
        </w:tc>
        <w:tc>
          <w:tcPr>
            <w:tcW w:w="1437" w:type="dxa"/>
          </w:tcPr>
          <w:p w:rsidR="004E077F" w:rsidRPr="00B60605" w:rsidRDefault="004E077F" w:rsidP="00E45C94">
            <w:pPr>
              <w:jc w:val="center"/>
              <w:rPr>
                <w:rFonts w:cstheme="minorHAnsi"/>
                <w:sz w:val="20"/>
                <w:szCs w:val="20"/>
              </w:rPr>
            </w:pPr>
            <w:r w:rsidRPr="00B60605">
              <w:rPr>
                <w:rFonts w:cstheme="minorHAnsi"/>
                <w:sz w:val="20"/>
                <w:szCs w:val="20"/>
              </w:rPr>
              <w:t>70-79</w:t>
            </w:r>
            <w:r>
              <w:rPr>
                <w:rFonts w:cstheme="minorHAnsi"/>
                <w:sz w:val="20"/>
                <w:szCs w:val="20"/>
              </w:rPr>
              <w:t>%</w:t>
            </w:r>
          </w:p>
        </w:tc>
        <w:tc>
          <w:tcPr>
            <w:tcW w:w="1425" w:type="dxa"/>
            <w:shd w:val="clear" w:color="auto" w:fill="auto"/>
          </w:tcPr>
          <w:p w:rsidR="004E077F" w:rsidRPr="00101553" w:rsidRDefault="004E077F" w:rsidP="00E45C94">
            <w:pPr>
              <w:jc w:val="center"/>
              <w:rPr>
                <w:rFonts w:cstheme="minorHAnsi"/>
                <w:b/>
                <w:sz w:val="20"/>
                <w:szCs w:val="20"/>
              </w:rPr>
            </w:pPr>
            <w:r w:rsidRPr="00101553">
              <w:rPr>
                <w:rFonts w:eastAsiaTheme="minorEastAsia" w:cs="Arial"/>
                <w:color w:val="1A1A1A"/>
                <w:sz w:val="20"/>
                <w:szCs w:val="20"/>
              </w:rPr>
              <w:t>3.25</w:t>
            </w:r>
          </w:p>
        </w:tc>
        <w:tc>
          <w:tcPr>
            <w:tcW w:w="1440" w:type="dxa"/>
            <w:shd w:val="clear" w:color="auto" w:fill="auto"/>
          </w:tcPr>
          <w:p w:rsidR="004E077F" w:rsidRPr="00101553" w:rsidRDefault="004E077F" w:rsidP="00E45C94">
            <w:pPr>
              <w:jc w:val="center"/>
              <w:rPr>
                <w:rFonts w:cstheme="minorHAnsi"/>
                <w:b/>
                <w:sz w:val="20"/>
                <w:szCs w:val="20"/>
              </w:rPr>
            </w:pPr>
            <w:r>
              <w:rPr>
                <w:rFonts w:eastAsiaTheme="minorEastAsia" w:cs="Arial"/>
                <w:color w:val="1A1A1A"/>
                <w:sz w:val="20"/>
                <w:szCs w:val="20"/>
              </w:rPr>
              <w:t>90</w:t>
            </w:r>
            <w:r w:rsidRPr="00101553">
              <w:rPr>
                <w:rFonts w:eastAsiaTheme="minorEastAsia" w:cs="Arial"/>
                <w:color w:val="1A1A1A"/>
                <w:sz w:val="20"/>
                <w:szCs w:val="20"/>
              </w:rPr>
              <w:t>%</w:t>
            </w:r>
          </w:p>
        </w:tc>
        <w:tc>
          <w:tcPr>
            <w:tcW w:w="5130" w:type="dxa"/>
            <w:gridSpan w:val="2"/>
            <w:vMerge w:val="restart"/>
            <w:shd w:val="clear" w:color="auto" w:fill="D9D9D9" w:themeFill="background1" w:themeFillShade="D9"/>
            <w:vAlign w:val="center"/>
          </w:tcPr>
          <w:p w:rsidR="004E077F" w:rsidRPr="00B60605" w:rsidRDefault="004E077F" w:rsidP="00E45C9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4E077F" w:rsidTr="00E45C94">
        <w:tc>
          <w:tcPr>
            <w:tcW w:w="558" w:type="dxa"/>
            <w:shd w:val="clear" w:color="auto" w:fill="D9D9D9" w:themeFill="background1" w:themeFillShade="D9"/>
          </w:tcPr>
          <w:p w:rsidR="004E077F" w:rsidRPr="00B60605" w:rsidRDefault="004E077F" w:rsidP="00E45C94">
            <w:pPr>
              <w:rPr>
                <w:b/>
                <w:sz w:val="20"/>
                <w:szCs w:val="20"/>
              </w:rPr>
            </w:pPr>
            <w:r w:rsidRPr="00B60605">
              <w:rPr>
                <w:b/>
                <w:sz w:val="20"/>
                <w:szCs w:val="20"/>
              </w:rPr>
              <w:t>D</w:t>
            </w:r>
          </w:p>
        </w:tc>
        <w:tc>
          <w:tcPr>
            <w:tcW w:w="1437" w:type="dxa"/>
          </w:tcPr>
          <w:p w:rsidR="004E077F" w:rsidRPr="00B60605" w:rsidRDefault="004E077F" w:rsidP="00E45C94">
            <w:pPr>
              <w:jc w:val="center"/>
              <w:rPr>
                <w:rFonts w:cstheme="minorHAnsi"/>
                <w:sz w:val="20"/>
                <w:szCs w:val="20"/>
              </w:rPr>
            </w:pPr>
            <w:r w:rsidRPr="00B60605">
              <w:rPr>
                <w:rFonts w:cstheme="minorHAnsi"/>
                <w:sz w:val="20"/>
                <w:szCs w:val="20"/>
              </w:rPr>
              <w:t>60-69</w:t>
            </w:r>
            <w:r>
              <w:rPr>
                <w:rFonts w:cstheme="minorHAnsi"/>
                <w:sz w:val="20"/>
                <w:szCs w:val="20"/>
              </w:rPr>
              <w:t>%</w:t>
            </w:r>
          </w:p>
        </w:tc>
        <w:tc>
          <w:tcPr>
            <w:tcW w:w="1425" w:type="dxa"/>
            <w:shd w:val="clear" w:color="auto" w:fill="auto"/>
          </w:tcPr>
          <w:p w:rsidR="004E077F" w:rsidRPr="00101553" w:rsidRDefault="004E077F" w:rsidP="00E45C94">
            <w:pPr>
              <w:jc w:val="center"/>
              <w:rPr>
                <w:rFonts w:cstheme="minorHAnsi"/>
                <w:b/>
                <w:sz w:val="20"/>
                <w:szCs w:val="20"/>
              </w:rPr>
            </w:pPr>
            <w:r w:rsidRPr="00101553">
              <w:rPr>
                <w:rFonts w:eastAsiaTheme="minorEastAsia" w:cs="Arial"/>
                <w:color w:val="1A1A1A"/>
                <w:sz w:val="20"/>
                <w:szCs w:val="20"/>
              </w:rPr>
              <w:t>3.00</w:t>
            </w:r>
          </w:p>
        </w:tc>
        <w:tc>
          <w:tcPr>
            <w:tcW w:w="1440" w:type="dxa"/>
            <w:shd w:val="clear" w:color="auto" w:fill="auto"/>
          </w:tcPr>
          <w:p w:rsidR="004E077F" w:rsidRPr="00101553" w:rsidRDefault="004E077F" w:rsidP="00E45C94">
            <w:pPr>
              <w:jc w:val="center"/>
              <w:rPr>
                <w:rFonts w:cstheme="minorHAnsi"/>
                <w:b/>
                <w:sz w:val="20"/>
                <w:szCs w:val="20"/>
              </w:rPr>
            </w:pPr>
            <w:r>
              <w:rPr>
                <w:rFonts w:eastAsiaTheme="minorEastAsia" w:cs="Arial"/>
                <w:color w:val="1A1A1A"/>
                <w:sz w:val="20"/>
                <w:szCs w:val="20"/>
              </w:rPr>
              <w:t>85</w:t>
            </w:r>
            <w:r w:rsidRPr="00101553">
              <w:rPr>
                <w:rFonts w:eastAsiaTheme="minorEastAsia" w:cs="Arial"/>
                <w:color w:val="1A1A1A"/>
                <w:sz w:val="20"/>
                <w:szCs w:val="20"/>
              </w:rPr>
              <w:t>%</w:t>
            </w:r>
          </w:p>
        </w:tc>
        <w:tc>
          <w:tcPr>
            <w:tcW w:w="5130" w:type="dxa"/>
            <w:gridSpan w:val="2"/>
            <w:vMerge/>
            <w:shd w:val="clear" w:color="auto" w:fill="D9D9D9" w:themeFill="background1" w:themeFillShade="D9"/>
          </w:tcPr>
          <w:p w:rsidR="004E077F" w:rsidRPr="00B60605" w:rsidRDefault="004E077F" w:rsidP="00E45C94">
            <w:pPr>
              <w:rPr>
                <w:rFonts w:cstheme="minorHAnsi"/>
                <w:b/>
                <w:sz w:val="16"/>
                <w:szCs w:val="16"/>
              </w:rPr>
            </w:pPr>
          </w:p>
        </w:tc>
      </w:tr>
      <w:tr w:rsidR="004E077F" w:rsidTr="00E45C94">
        <w:tc>
          <w:tcPr>
            <w:tcW w:w="558" w:type="dxa"/>
            <w:shd w:val="clear" w:color="auto" w:fill="D9D9D9" w:themeFill="background1" w:themeFillShade="D9"/>
          </w:tcPr>
          <w:p w:rsidR="004E077F" w:rsidRPr="00B60605" w:rsidRDefault="004E077F" w:rsidP="00E45C94">
            <w:pPr>
              <w:rPr>
                <w:b/>
                <w:sz w:val="20"/>
                <w:szCs w:val="20"/>
              </w:rPr>
            </w:pPr>
            <w:r w:rsidRPr="00B60605">
              <w:rPr>
                <w:b/>
                <w:sz w:val="20"/>
                <w:szCs w:val="20"/>
              </w:rPr>
              <w:t>F</w:t>
            </w:r>
          </w:p>
        </w:tc>
        <w:tc>
          <w:tcPr>
            <w:tcW w:w="1437" w:type="dxa"/>
          </w:tcPr>
          <w:p w:rsidR="004E077F" w:rsidRPr="00B60605" w:rsidRDefault="004E077F" w:rsidP="00E45C94">
            <w:pPr>
              <w:jc w:val="center"/>
              <w:rPr>
                <w:rFonts w:cstheme="minorHAnsi"/>
                <w:sz w:val="20"/>
                <w:szCs w:val="20"/>
              </w:rPr>
            </w:pPr>
            <w:r w:rsidRPr="00B60605">
              <w:rPr>
                <w:rFonts w:cstheme="minorHAnsi"/>
                <w:sz w:val="20"/>
                <w:szCs w:val="20"/>
              </w:rPr>
              <w:t>59 or below</w:t>
            </w:r>
          </w:p>
        </w:tc>
        <w:tc>
          <w:tcPr>
            <w:tcW w:w="1425" w:type="dxa"/>
            <w:shd w:val="clear" w:color="auto" w:fill="auto"/>
          </w:tcPr>
          <w:p w:rsidR="004E077F" w:rsidRPr="00101553" w:rsidRDefault="004E077F" w:rsidP="00E45C94">
            <w:pPr>
              <w:jc w:val="center"/>
              <w:rPr>
                <w:rFonts w:cs="Times New Roman"/>
                <w:sz w:val="20"/>
                <w:szCs w:val="20"/>
              </w:rPr>
            </w:pPr>
            <w:r w:rsidRPr="00101553">
              <w:rPr>
                <w:rFonts w:eastAsiaTheme="minorEastAsia" w:cs="Arial"/>
                <w:color w:val="1A1A1A"/>
                <w:sz w:val="20"/>
                <w:szCs w:val="20"/>
              </w:rPr>
              <w:t>2.75</w:t>
            </w:r>
          </w:p>
        </w:tc>
        <w:tc>
          <w:tcPr>
            <w:tcW w:w="1440" w:type="dxa"/>
            <w:shd w:val="clear" w:color="auto" w:fill="auto"/>
          </w:tcPr>
          <w:p w:rsidR="004E077F" w:rsidRPr="00101553" w:rsidRDefault="004E077F" w:rsidP="00E45C94">
            <w:pPr>
              <w:jc w:val="center"/>
              <w:rPr>
                <w:rFonts w:cs="Times New Roman"/>
                <w:sz w:val="20"/>
                <w:szCs w:val="20"/>
              </w:rPr>
            </w:pPr>
            <w:r>
              <w:rPr>
                <w:rFonts w:eastAsiaTheme="minorEastAsia" w:cs="Arial"/>
                <w:color w:val="1A1A1A"/>
                <w:sz w:val="20"/>
                <w:szCs w:val="20"/>
              </w:rPr>
              <w:t>80</w:t>
            </w:r>
            <w:r w:rsidRPr="00101553">
              <w:rPr>
                <w:rFonts w:eastAsiaTheme="minorEastAsia" w:cs="Arial"/>
                <w:color w:val="1A1A1A"/>
                <w:sz w:val="20"/>
                <w:szCs w:val="20"/>
              </w:rPr>
              <w:t>%</w:t>
            </w:r>
          </w:p>
        </w:tc>
        <w:tc>
          <w:tcPr>
            <w:tcW w:w="5130" w:type="dxa"/>
            <w:gridSpan w:val="2"/>
            <w:vMerge/>
            <w:shd w:val="clear" w:color="auto" w:fill="D9D9D9" w:themeFill="background1" w:themeFillShade="D9"/>
          </w:tcPr>
          <w:p w:rsidR="004E077F" w:rsidRPr="001774C4" w:rsidRDefault="004E077F" w:rsidP="00E45C94">
            <w:pPr>
              <w:rPr>
                <w:rFonts w:ascii="Times New Roman" w:hAnsi="Times New Roman" w:cs="Times New Roman"/>
                <w:sz w:val="20"/>
                <w:szCs w:val="20"/>
              </w:rPr>
            </w:pPr>
          </w:p>
        </w:tc>
      </w:tr>
      <w:tr w:rsidR="004E077F" w:rsidTr="00E45C94">
        <w:tc>
          <w:tcPr>
            <w:tcW w:w="1995" w:type="dxa"/>
            <w:gridSpan w:val="2"/>
            <w:vMerge w:val="restart"/>
            <w:shd w:val="clear" w:color="auto" w:fill="D9D9D9" w:themeFill="background1" w:themeFillShade="D9"/>
          </w:tcPr>
          <w:p w:rsidR="004E077F" w:rsidRPr="00B60605" w:rsidRDefault="004E077F" w:rsidP="00E45C94">
            <w:pPr>
              <w:jc w:val="center"/>
              <w:rPr>
                <w:rFonts w:cstheme="minorHAnsi"/>
                <w:sz w:val="20"/>
                <w:szCs w:val="20"/>
              </w:rPr>
            </w:pPr>
          </w:p>
        </w:tc>
        <w:tc>
          <w:tcPr>
            <w:tcW w:w="1425" w:type="dxa"/>
            <w:shd w:val="clear" w:color="auto" w:fill="auto"/>
          </w:tcPr>
          <w:p w:rsidR="004E077F" w:rsidRPr="00101553" w:rsidRDefault="004E077F" w:rsidP="00E45C94">
            <w:pPr>
              <w:jc w:val="center"/>
              <w:rPr>
                <w:rFonts w:cs="Times New Roman"/>
                <w:sz w:val="20"/>
                <w:szCs w:val="20"/>
              </w:rPr>
            </w:pPr>
            <w:r w:rsidRPr="00101553">
              <w:rPr>
                <w:rFonts w:eastAsiaTheme="minorEastAsia" w:cs="Arial"/>
                <w:color w:val="1A1A1A"/>
                <w:sz w:val="20"/>
                <w:szCs w:val="20"/>
              </w:rPr>
              <w:t>2.50</w:t>
            </w:r>
          </w:p>
        </w:tc>
        <w:tc>
          <w:tcPr>
            <w:tcW w:w="1440" w:type="dxa"/>
            <w:shd w:val="clear" w:color="auto" w:fill="auto"/>
          </w:tcPr>
          <w:p w:rsidR="004E077F" w:rsidRPr="00101553" w:rsidRDefault="004E077F" w:rsidP="00E45C94">
            <w:pPr>
              <w:jc w:val="center"/>
              <w:rPr>
                <w:rFonts w:cs="Times New Roman"/>
                <w:sz w:val="20"/>
                <w:szCs w:val="20"/>
              </w:rPr>
            </w:pPr>
            <w:r>
              <w:rPr>
                <w:rFonts w:eastAsiaTheme="minorEastAsia" w:cs="Arial"/>
                <w:color w:val="1A1A1A"/>
                <w:sz w:val="20"/>
                <w:szCs w:val="20"/>
              </w:rPr>
              <w:t>75</w:t>
            </w:r>
            <w:r w:rsidRPr="00101553">
              <w:rPr>
                <w:rFonts w:eastAsiaTheme="minorEastAsia" w:cs="Arial"/>
                <w:color w:val="1A1A1A"/>
                <w:sz w:val="20"/>
                <w:szCs w:val="20"/>
              </w:rPr>
              <w:t>%</w:t>
            </w:r>
          </w:p>
        </w:tc>
        <w:tc>
          <w:tcPr>
            <w:tcW w:w="5130" w:type="dxa"/>
            <w:gridSpan w:val="2"/>
            <w:vMerge w:val="restart"/>
            <w:shd w:val="clear" w:color="auto" w:fill="D9D9D9" w:themeFill="background1" w:themeFillShade="D9"/>
          </w:tcPr>
          <w:p w:rsidR="004E077F" w:rsidRDefault="004E077F" w:rsidP="00E45C94">
            <w:pPr>
              <w:rPr>
                <w:rFonts w:ascii="Times New Roman" w:hAnsi="Times New Roman" w:cs="Times New Roman"/>
                <w:sz w:val="20"/>
                <w:szCs w:val="20"/>
              </w:rPr>
            </w:pPr>
            <w:r>
              <w:rPr>
                <w:rFonts w:ascii="Times New Roman" w:hAnsi="Times New Roman" w:cs="Times New Roman"/>
                <w:sz w:val="20"/>
                <w:szCs w:val="20"/>
              </w:rPr>
              <w:t>*Standards-referenced marks will be used on assessments that address specific standards (such as writing, research, and speaking assessments).</w:t>
            </w:r>
          </w:p>
          <w:p w:rsidR="004E077F" w:rsidRDefault="004E077F" w:rsidP="00E45C94">
            <w:pPr>
              <w:rPr>
                <w:rFonts w:ascii="Times New Roman" w:hAnsi="Times New Roman" w:cs="Times New Roman"/>
                <w:sz w:val="20"/>
                <w:szCs w:val="20"/>
              </w:rPr>
            </w:pPr>
            <w:r>
              <w:rPr>
                <w:rFonts w:ascii="Times New Roman" w:hAnsi="Times New Roman" w:cs="Times New Roman"/>
                <w:sz w:val="20"/>
                <w:szCs w:val="20"/>
              </w:rPr>
              <w:t>*A point scale will be used on objective assessments that address a student’s skills as a whole (such as multiple choice reading tests and quizzes).</w:t>
            </w:r>
          </w:p>
          <w:p w:rsidR="004E077F" w:rsidRPr="001774C4" w:rsidRDefault="004E077F" w:rsidP="00E45C94">
            <w:pPr>
              <w:rPr>
                <w:rFonts w:ascii="Times New Roman" w:hAnsi="Times New Roman" w:cs="Times New Roman"/>
                <w:sz w:val="20"/>
                <w:szCs w:val="20"/>
              </w:rPr>
            </w:pPr>
            <w:r>
              <w:rPr>
                <w:rFonts w:ascii="Times New Roman" w:hAnsi="Times New Roman" w:cs="Times New Roman"/>
                <w:sz w:val="20"/>
                <w:szCs w:val="20"/>
              </w:rPr>
              <w:t>*A point scale will also be used frequently on formative assessments denoting a student’s level of completion.</w:t>
            </w:r>
          </w:p>
        </w:tc>
      </w:tr>
      <w:tr w:rsidR="004E077F" w:rsidTr="00E45C94">
        <w:tc>
          <w:tcPr>
            <w:tcW w:w="1995" w:type="dxa"/>
            <w:gridSpan w:val="2"/>
            <w:vMerge/>
            <w:shd w:val="clear" w:color="auto" w:fill="D9D9D9" w:themeFill="background1" w:themeFillShade="D9"/>
          </w:tcPr>
          <w:p w:rsidR="004E077F" w:rsidRPr="00B60605" w:rsidRDefault="004E077F" w:rsidP="00E45C94">
            <w:pPr>
              <w:jc w:val="center"/>
              <w:rPr>
                <w:rFonts w:cstheme="minorHAnsi"/>
                <w:sz w:val="20"/>
                <w:szCs w:val="20"/>
              </w:rPr>
            </w:pPr>
          </w:p>
        </w:tc>
        <w:tc>
          <w:tcPr>
            <w:tcW w:w="1425" w:type="dxa"/>
            <w:shd w:val="clear" w:color="auto" w:fill="auto"/>
          </w:tcPr>
          <w:p w:rsidR="004E077F" w:rsidRPr="00101553" w:rsidRDefault="004E077F" w:rsidP="00E45C94">
            <w:pPr>
              <w:jc w:val="center"/>
              <w:rPr>
                <w:rFonts w:cs="Times New Roman"/>
                <w:sz w:val="20"/>
                <w:szCs w:val="20"/>
              </w:rPr>
            </w:pPr>
            <w:r w:rsidRPr="00101553">
              <w:rPr>
                <w:rFonts w:eastAsiaTheme="minorEastAsia" w:cs="Arial"/>
                <w:color w:val="1A1A1A"/>
                <w:sz w:val="20"/>
                <w:szCs w:val="20"/>
              </w:rPr>
              <w:t>2.25</w:t>
            </w:r>
          </w:p>
        </w:tc>
        <w:tc>
          <w:tcPr>
            <w:tcW w:w="1440" w:type="dxa"/>
            <w:shd w:val="clear" w:color="auto" w:fill="auto"/>
          </w:tcPr>
          <w:p w:rsidR="004E077F" w:rsidRPr="00101553" w:rsidRDefault="004E077F" w:rsidP="00E45C94">
            <w:pPr>
              <w:jc w:val="center"/>
              <w:rPr>
                <w:rFonts w:cs="Times New Roman"/>
                <w:sz w:val="20"/>
                <w:szCs w:val="20"/>
              </w:rPr>
            </w:pPr>
            <w:r w:rsidRPr="00101553">
              <w:rPr>
                <w:rFonts w:eastAsiaTheme="minorEastAsia" w:cs="Arial"/>
                <w:color w:val="1A1A1A"/>
                <w:sz w:val="20"/>
                <w:szCs w:val="20"/>
              </w:rPr>
              <w:t>65%</w:t>
            </w:r>
          </w:p>
        </w:tc>
        <w:tc>
          <w:tcPr>
            <w:tcW w:w="5130" w:type="dxa"/>
            <w:gridSpan w:val="2"/>
            <w:vMerge/>
            <w:shd w:val="clear" w:color="auto" w:fill="D9D9D9" w:themeFill="background1" w:themeFillShade="D9"/>
          </w:tcPr>
          <w:p w:rsidR="004E077F" w:rsidRPr="001774C4" w:rsidRDefault="004E077F" w:rsidP="00E45C94">
            <w:pPr>
              <w:rPr>
                <w:rFonts w:ascii="Times New Roman" w:hAnsi="Times New Roman" w:cs="Times New Roman"/>
                <w:sz w:val="20"/>
                <w:szCs w:val="20"/>
              </w:rPr>
            </w:pPr>
          </w:p>
        </w:tc>
      </w:tr>
      <w:tr w:rsidR="004E077F" w:rsidTr="00E45C94">
        <w:tc>
          <w:tcPr>
            <w:tcW w:w="1995" w:type="dxa"/>
            <w:gridSpan w:val="2"/>
            <w:vMerge/>
            <w:shd w:val="clear" w:color="auto" w:fill="D9D9D9" w:themeFill="background1" w:themeFillShade="D9"/>
          </w:tcPr>
          <w:p w:rsidR="004E077F" w:rsidRPr="00B60605" w:rsidRDefault="004E077F" w:rsidP="00E45C94">
            <w:pPr>
              <w:jc w:val="center"/>
              <w:rPr>
                <w:rFonts w:cstheme="minorHAnsi"/>
                <w:sz w:val="20"/>
                <w:szCs w:val="20"/>
              </w:rPr>
            </w:pPr>
          </w:p>
        </w:tc>
        <w:tc>
          <w:tcPr>
            <w:tcW w:w="1425" w:type="dxa"/>
            <w:shd w:val="clear" w:color="auto" w:fill="auto"/>
          </w:tcPr>
          <w:p w:rsidR="004E077F" w:rsidRPr="00101553" w:rsidRDefault="004E077F" w:rsidP="00E45C94">
            <w:pPr>
              <w:jc w:val="center"/>
              <w:rPr>
                <w:rFonts w:cs="Times New Roman"/>
                <w:sz w:val="20"/>
                <w:szCs w:val="20"/>
              </w:rPr>
            </w:pPr>
            <w:r w:rsidRPr="00101553">
              <w:rPr>
                <w:rFonts w:eastAsiaTheme="minorEastAsia" w:cs="Arial"/>
                <w:color w:val="1A1A1A"/>
                <w:sz w:val="20"/>
                <w:szCs w:val="20"/>
              </w:rPr>
              <w:t>2.00</w:t>
            </w:r>
          </w:p>
        </w:tc>
        <w:tc>
          <w:tcPr>
            <w:tcW w:w="1440" w:type="dxa"/>
            <w:shd w:val="clear" w:color="auto" w:fill="auto"/>
          </w:tcPr>
          <w:p w:rsidR="004E077F" w:rsidRPr="00101553" w:rsidRDefault="004E077F" w:rsidP="00E45C94">
            <w:pPr>
              <w:jc w:val="center"/>
              <w:rPr>
                <w:rFonts w:cs="Times New Roman"/>
                <w:sz w:val="20"/>
                <w:szCs w:val="20"/>
              </w:rPr>
            </w:pPr>
            <w:r w:rsidRPr="00101553">
              <w:rPr>
                <w:rFonts w:eastAsiaTheme="minorEastAsia" w:cs="Arial"/>
                <w:color w:val="1A1A1A"/>
                <w:sz w:val="20"/>
                <w:szCs w:val="20"/>
              </w:rPr>
              <w:t>60%</w:t>
            </w:r>
          </w:p>
        </w:tc>
        <w:tc>
          <w:tcPr>
            <w:tcW w:w="5130" w:type="dxa"/>
            <w:gridSpan w:val="2"/>
            <w:vMerge/>
            <w:shd w:val="clear" w:color="auto" w:fill="D9D9D9" w:themeFill="background1" w:themeFillShade="D9"/>
          </w:tcPr>
          <w:p w:rsidR="004E077F" w:rsidRPr="001774C4" w:rsidRDefault="004E077F" w:rsidP="00E45C94">
            <w:pPr>
              <w:rPr>
                <w:rFonts w:ascii="Times New Roman" w:hAnsi="Times New Roman" w:cs="Times New Roman"/>
                <w:sz w:val="20"/>
                <w:szCs w:val="20"/>
              </w:rPr>
            </w:pPr>
          </w:p>
        </w:tc>
      </w:tr>
      <w:tr w:rsidR="004E077F" w:rsidTr="00E45C94">
        <w:trPr>
          <w:trHeight w:val="350"/>
        </w:trPr>
        <w:tc>
          <w:tcPr>
            <w:tcW w:w="1995" w:type="dxa"/>
            <w:gridSpan w:val="2"/>
            <w:vMerge/>
            <w:shd w:val="clear" w:color="auto" w:fill="D9D9D9" w:themeFill="background1" w:themeFillShade="D9"/>
          </w:tcPr>
          <w:p w:rsidR="004E077F" w:rsidRPr="00B60605" w:rsidRDefault="004E077F" w:rsidP="00E45C94">
            <w:pPr>
              <w:jc w:val="center"/>
              <w:rPr>
                <w:rFonts w:cstheme="minorHAnsi"/>
                <w:sz w:val="20"/>
                <w:szCs w:val="20"/>
              </w:rPr>
            </w:pPr>
          </w:p>
        </w:tc>
        <w:tc>
          <w:tcPr>
            <w:tcW w:w="1425" w:type="dxa"/>
            <w:shd w:val="clear" w:color="auto" w:fill="auto"/>
          </w:tcPr>
          <w:p w:rsidR="004E077F" w:rsidRPr="00ED13D7" w:rsidRDefault="004E077F" w:rsidP="00E45C94">
            <w:pPr>
              <w:jc w:val="center"/>
              <w:rPr>
                <w:rFonts w:eastAsiaTheme="minorEastAsia" w:cs="Arial"/>
                <w:color w:val="1A1A1A"/>
                <w:sz w:val="20"/>
                <w:szCs w:val="20"/>
              </w:rPr>
            </w:pPr>
            <w:r w:rsidRPr="00101553">
              <w:rPr>
                <w:rFonts w:eastAsiaTheme="minorEastAsia" w:cs="Arial"/>
                <w:color w:val="1A1A1A"/>
                <w:sz w:val="20"/>
                <w:szCs w:val="20"/>
              </w:rPr>
              <w:t>1.00</w:t>
            </w:r>
          </w:p>
        </w:tc>
        <w:tc>
          <w:tcPr>
            <w:tcW w:w="1440" w:type="dxa"/>
            <w:shd w:val="clear" w:color="auto" w:fill="auto"/>
          </w:tcPr>
          <w:p w:rsidR="004E077F" w:rsidRDefault="004E077F" w:rsidP="00E45C94">
            <w:pPr>
              <w:jc w:val="center"/>
              <w:rPr>
                <w:rFonts w:eastAsiaTheme="minorEastAsia" w:cs="Arial"/>
                <w:color w:val="1A1A1A"/>
                <w:sz w:val="20"/>
                <w:szCs w:val="20"/>
              </w:rPr>
            </w:pPr>
            <w:r w:rsidRPr="00101553">
              <w:rPr>
                <w:rFonts w:eastAsiaTheme="minorEastAsia" w:cs="Arial"/>
                <w:color w:val="1A1A1A"/>
                <w:sz w:val="20"/>
                <w:szCs w:val="20"/>
              </w:rPr>
              <w:t>50%</w:t>
            </w:r>
          </w:p>
          <w:p w:rsidR="004E077F" w:rsidRPr="00101553" w:rsidRDefault="004E077F" w:rsidP="00E45C94">
            <w:pPr>
              <w:jc w:val="center"/>
              <w:rPr>
                <w:rFonts w:cs="Times New Roman"/>
                <w:sz w:val="20"/>
                <w:szCs w:val="20"/>
              </w:rPr>
            </w:pPr>
          </w:p>
        </w:tc>
        <w:tc>
          <w:tcPr>
            <w:tcW w:w="5130" w:type="dxa"/>
            <w:gridSpan w:val="2"/>
            <w:vMerge/>
            <w:shd w:val="clear" w:color="auto" w:fill="D9D9D9" w:themeFill="background1" w:themeFillShade="D9"/>
          </w:tcPr>
          <w:p w:rsidR="004E077F" w:rsidRPr="001774C4" w:rsidRDefault="004E077F" w:rsidP="00E45C94">
            <w:pPr>
              <w:rPr>
                <w:rFonts w:ascii="Times New Roman" w:hAnsi="Times New Roman" w:cs="Times New Roman"/>
                <w:sz w:val="20"/>
                <w:szCs w:val="20"/>
              </w:rPr>
            </w:pPr>
          </w:p>
        </w:tc>
      </w:tr>
    </w:tbl>
    <w:p w:rsidR="004E077F" w:rsidRDefault="004E077F"/>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1C3533">
        <w:trPr>
          <w:trHeight w:val="215"/>
        </w:trPr>
        <w:tc>
          <w:tcPr>
            <w:tcW w:w="100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BA3244" w:rsidTr="001C3533">
        <w:trPr>
          <w:trHeight w:val="440"/>
        </w:trPr>
        <w:tc>
          <w:tcPr>
            <w:tcW w:w="1001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lastRenderedPageBreak/>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1C3533">
        <w:tc>
          <w:tcPr>
            <w:tcW w:w="10015" w:type="dxa"/>
            <w:tcBorders>
              <w:bottom w:val="single" w:sz="4" w:space="0" w:color="auto"/>
            </w:tcBorders>
          </w:tcPr>
          <w:p w:rsidR="00CD7CA8" w:rsidRDefault="00CD7CA8" w:rsidP="00CD7CA8">
            <w:pPr>
              <w:rPr>
                <w:b/>
                <w:sz w:val="20"/>
                <w:szCs w:val="20"/>
                <w:u w:val="single"/>
              </w:rPr>
            </w:pPr>
            <w:r>
              <w:rPr>
                <w:b/>
                <w:sz w:val="20"/>
                <w:szCs w:val="20"/>
                <w:u w:val="single"/>
              </w:rPr>
              <w:t>Absences/</w:t>
            </w:r>
            <w:proofErr w:type="spellStart"/>
            <w:r>
              <w:rPr>
                <w:b/>
                <w:sz w:val="20"/>
                <w:szCs w:val="20"/>
                <w:u w:val="single"/>
              </w:rPr>
              <w:t>Tardies</w:t>
            </w:r>
            <w:proofErr w:type="spellEnd"/>
            <w:r>
              <w:rPr>
                <w:b/>
                <w:sz w:val="20"/>
                <w:szCs w:val="20"/>
                <w:u w:val="single"/>
              </w:rPr>
              <w:t>:</w:t>
            </w:r>
          </w:p>
          <w:p w:rsidR="00CD7CA8" w:rsidRDefault="00CD7CA8" w:rsidP="00CD7CA8">
            <w:pPr>
              <w:numPr>
                <w:ilvl w:val="0"/>
                <w:numId w:val="4"/>
              </w:numPr>
              <w:rPr>
                <w:sz w:val="20"/>
                <w:szCs w:val="20"/>
              </w:rPr>
            </w:pPr>
            <w:r>
              <w:rPr>
                <w:sz w:val="20"/>
                <w:szCs w:val="20"/>
              </w:rPr>
              <w:t>It is very important for you to be in class EVERY DAY.  In high school, absences cause you to fall behind very quickly.  If you must be absent, try to contact me as soon as possible.  Check our class website for the work we are doing, or e-mail me so I can let you know what you are missing.  If you do not make up your work according to the district Make-Up Work policy, then you will receive a zero for each missing assignment.  Do not put this off!  At the end of the semester, there will be no make-up work or extra credit to help you raise your grade.</w:t>
            </w:r>
          </w:p>
          <w:p w:rsidR="00CD7CA8" w:rsidRPr="008A33C1" w:rsidRDefault="00CD7CA8" w:rsidP="00CD7CA8">
            <w:pPr>
              <w:numPr>
                <w:ilvl w:val="0"/>
                <w:numId w:val="4"/>
              </w:numPr>
              <w:rPr>
                <w:sz w:val="20"/>
                <w:szCs w:val="20"/>
              </w:rPr>
            </w:pPr>
            <w:r>
              <w:rPr>
                <w:sz w:val="20"/>
                <w:szCs w:val="20"/>
              </w:rPr>
              <w:t xml:space="preserve">When the tardy bell rings, you are expected </w:t>
            </w:r>
            <w:r w:rsidRPr="00841D0A">
              <w:rPr>
                <w:b/>
                <w:sz w:val="20"/>
                <w:szCs w:val="20"/>
              </w:rPr>
              <w:t>to be in your seat</w:t>
            </w:r>
            <w:r>
              <w:rPr>
                <w:sz w:val="20"/>
                <w:szCs w:val="20"/>
              </w:rPr>
              <w:t xml:space="preserve">, ready to begin work. </w:t>
            </w:r>
            <w:proofErr w:type="spellStart"/>
            <w:r w:rsidRPr="00841D0A">
              <w:rPr>
                <w:sz w:val="20"/>
                <w:szCs w:val="20"/>
              </w:rPr>
              <w:t>Tardies</w:t>
            </w:r>
            <w:proofErr w:type="spellEnd"/>
            <w:r>
              <w:rPr>
                <w:sz w:val="20"/>
                <w:szCs w:val="20"/>
              </w:rPr>
              <w:t xml:space="preserve"> are very rude and distracting to the class and your teacher. </w:t>
            </w:r>
            <w:r w:rsidRPr="008A33C1">
              <w:rPr>
                <w:sz w:val="20"/>
                <w:szCs w:val="20"/>
              </w:rPr>
              <w:t xml:space="preserve">I understand that sometimes we cannot control what happens, causing us to be tardy. If you are tardy, please enter QUIETLY and take a seat. Do not disrupt me or your classmates. If your </w:t>
            </w:r>
            <w:proofErr w:type="spellStart"/>
            <w:r w:rsidRPr="008A33C1">
              <w:rPr>
                <w:sz w:val="20"/>
                <w:szCs w:val="20"/>
              </w:rPr>
              <w:t>tardies</w:t>
            </w:r>
            <w:proofErr w:type="spellEnd"/>
            <w:r w:rsidRPr="008A33C1">
              <w:rPr>
                <w:sz w:val="20"/>
                <w:szCs w:val="20"/>
              </w:rPr>
              <w:t xml:space="preserve"> become a habit</w:t>
            </w:r>
            <w:r>
              <w:rPr>
                <w:sz w:val="20"/>
                <w:szCs w:val="20"/>
              </w:rPr>
              <w:t xml:space="preserve"> or disruptive</w:t>
            </w:r>
            <w:r w:rsidRPr="008A33C1">
              <w:rPr>
                <w:sz w:val="20"/>
                <w:szCs w:val="20"/>
              </w:rPr>
              <w:t>, you will receive a warning,</w:t>
            </w:r>
            <w:r>
              <w:rPr>
                <w:sz w:val="20"/>
                <w:szCs w:val="20"/>
              </w:rPr>
              <w:t xml:space="preserve"> a phone </w:t>
            </w:r>
            <w:r w:rsidRPr="008A33C1">
              <w:rPr>
                <w:sz w:val="20"/>
                <w:szCs w:val="20"/>
              </w:rPr>
              <w:t xml:space="preserve">call home, and finally a referral to Student Relations. </w:t>
            </w:r>
          </w:p>
          <w:p w:rsidR="00CD7CA8" w:rsidRPr="005F768B" w:rsidRDefault="00CD7CA8" w:rsidP="00CD7CA8">
            <w:pPr>
              <w:numPr>
                <w:ilvl w:val="0"/>
                <w:numId w:val="4"/>
              </w:numPr>
              <w:rPr>
                <w:sz w:val="20"/>
                <w:szCs w:val="20"/>
              </w:rPr>
            </w:pPr>
            <w:r>
              <w:rPr>
                <w:sz w:val="20"/>
                <w:szCs w:val="20"/>
              </w:rPr>
              <w:t>I want you to want to be in class! I know it can be difficult to come to class, especially if the subject matter is difficult or not appealing to you, but I will try to make everything we do relevant to you and your future. Just give it a chance.</w:t>
            </w:r>
          </w:p>
          <w:p w:rsidR="00CD7CA8" w:rsidRDefault="00CD7CA8" w:rsidP="00CD7CA8">
            <w:pPr>
              <w:rPr>
                <w:b/>
                <w:sz w:val="20"/>
                <w:szCs w:val="20"/>
                <w:u w:val="single"/>
              </w:rPr>
            </w:pPr>
          </w:p>
          <w:p w:rsidR="00CD7CA8" w:rsidRPr="005F768B" w:rsidRDefault="00CD7CA8" w:rsidP="00CD7CA8">
            <w:pPr>
              <w:rPr>
                <w:sz w:val="20"/>
                <w:szCs w:val="20"/>
              </w:rPr>
            </w:pPr>
            <w:r w:rsidRPr="005F768B">
              <w:rPr>
                <w:b/>
                <w:sz w:val="20"/>
                <w:szCs w:val="20"/>
                <w:u w:val="single"/>
              </w:rPr>
              <w:t>Make-Up Work:</w:t>
            </w:r>
          </w:p>
          <w:p w:rsidR="00CD7CA8" w:rsidRDefault="00CD7CA8" w:rsidP="00CD7CA8">
            <w:pPr>
              <w:rPr>
                <w:b/>
                <w:sz w:val="20"/>
                <w:szCs w:val="20"/>
              </w:rPr>
            </w:pPr>
            <w:r w:rsidRPr="005F768B">
              <w:rPr>
                <w:b/>
                <w:sz w:val="20"/>
                <w:szCs w:val="20"/>
              </w:rPr>
              <w:t xml:space="preserve">In the event of an excused absence, students get the number of days they were excused, plus one, to make up their missing work.  </w:t>
            </w:r>
            <w:r w:rsidRPr="005F768B">
              <w:rPr>
                <w:sz w:val="20"/>
                <w:szCs w:val="20"/>
              </w:rPr>
              <w:t xml:space="preserve">(For example, if your student </w:t>
            </w:r>
            <w:r>
              <w:rPr>
                <w:sz w:val="20"/>
                <w:szCs w:val="20"/>
              </w:rPr>
              <w:t xml:space="preserve">is </w:t>
            </w:r>
            <w:r w:rsidRPr="005F768B">
              <w:rPr>
                <w:sz w:val="20"/>
                <w:szCs w:val="20"/>
              </w:rPr>
              <w:t xml:space="preserve">absent and excused for two days, he or she gets three days to make up the work.)  </w:t>
            </w:r>
            <w:r w:rsidRPr="005F768B">
              <w:rPr>
                <w:i/>
                <w:sz w:val="20"/>
                <w:szCs w:val="20"/>
              </w:rPr>
              <w:t xml:space="preserve">Be sure to write “Absent” at the top of any make-up work. </w:t>
            </w:r>
            <w:r w:rsidRPr="005F768B">
              <w:rPr>
                <w:sz w:val="20"/>
                <w:szCs w:val="20"/>
              </w:rPr>
              <w:t xml:space="preserve">In the event of any absence, students </w:t>
            </w:r>
            <w:r w:rsidRPr="008A33C1">
              <w:rPr>
                <w:b/>
                <w:sz w:val="20"/>
                <w:szCs w:val="20"/>
                <w:u w:val="single"/>
              </w:rPr>
              <w:t>do not</w:t>
            </w:r>
            <w:r w:rsidRPr="005F768B">
              <w:rPr>
                <w:sz w:val="20"/>
                <w:szCs w:val="20"/>
              </w:rPr>
              <w:t xml:space="preserve"> get extra time to work on long-term projects (such as essays) that were assigned prior to their absence.  These projects will be due upon the student’s return.  </w:t>
            </w:r>
            <w:r w:rsidRPr="005F768B">
              <w:rPr>
                <w:b/>
                <w:sz w:val="20"/>
                <w:szCs w:val="20"/>
              </w:rPr>
              <w:t>It is the STUDENT’S RESPONSIBILITY to obtain any necessary make-up work immediately upon his or her return.</w:t>
            </w:r>
          </w:p>
          <w:p w:rsidR="00CD7CA8" w:rsidRPr="005F768B" w:rsidRDefault="00CD7CA8" w:rsidP="00CD7CA8">
            <w:pPr>
              <w:rPr>
                <w:sz w:val="20"/>
                <w:szCs w:val="20"/>
              </w:rPr>
            </w:pPr>
            <w:r w:rsidRPr="005F768B">
              <w:rPr>
                <w:b/>
                <w:sz w:val="20"/>
                <w:szCs w:val="20"/>
                <w:u w:val="single"/>
              </w:rPr>
              <w:t>Late Work:</w:t>
            </w:r>
          </w:p>
          <w:p w:rsidR="00CD7CA8" w:rsidRPr="005F768B" w:rsidRDefault="00CD7CA8" w:rsidP="00CD7CA8">
            <w:pPr>
              <w:rPr>
                <w:b/>
                <w:sz w:val="20"/>
                <w:szCs w:val="20"/>
              </w:rPr>
            </w:pPr>
            <w:r w:rsidRPr="005F768B">
              <w:rPr>
                <w:sz w:val="20"/>
                <w:szCs w:val="20"/>
              </w:rPr>
              <w:t xml:space="preserve">Any work that is turned in after the deadline stated in class is considered late.  It is my firm belief that students at the high school level need to take ownership of their education and exercise a high level of personal responsibility.  For that reason, I will only accept late work if you fill out and have your parents sign a </w:t>
            </w:r>
            <w:r w:rsidRPr="005F768B">
              <w:rPr>
                <w:b/>
                <w:sz w:val="20"/>
                <w:szCs w:val="20"/>
              </w:rPr>
              <w:t>Late Work Slip</w:t>
            </w:r>
            <w:r w:rsidRPr="005F768B">
              <w:rPr>
                <w:sz w:val="20"/>
                <w:szCs w:val="20"/>
              </w:rPr>
              <w:t xml:space="preserve">.  This must be attached to the late assignment, and can be turned in no later than the next day.   </w:t>
            </w:r>
          </w:p>
          <w:p w:rsidR="00CD7CA8" w:rsidRPr="005F768B" w:rsidRDefault="00CD7CA8" w:rsidP="00CD7CA8">
            <w:pPr>
              <w:rPr>
                <w:sz w:val="20"/>
                <w:szCs w:val="20"/>
                <w:u w:val="single"/>
              </w:rPr>
            </w:pPr>
            <w:r w:rsidRPr="005F768B">
              <w:rPr>
                <w:b/>
                <w:sz w:val="20"/>
                <w:szCs w:val="20"/>
                <w:u w:val="single"/>
              </w:rPr>
              <w:t>Homework</w:t>
            </w:r>
            <w:r w:rsidRPr="005F768B">
              <w:rPr>
                <w:sz w:val="20"/>
                <w:szCs w:val="20"/>
                <w:u w:val="single"/>
              </w:rPr>
              <w:t>:</w:t>
            </w:r>
          </w:p>
          <w:p w:rsidR="00CD7CA8" w:rsidRPr="005F768B" w:rsidRDefault="00CD7CA8" w:rsidP="00CD7CA8">
            <w:pPr>
              <w:rPr>
                <w:b/>
                <w:sz w:val="20"/>
                <w:szCs w:val="20"/>
              </w:rPr>
            </w:pPr>
            <w:r w:rsidRPr="005F768B">
              <w:rPr>
                <w:sz w:val="20"/>
                <w:szCs w:val="20"/>
              </w:rPr>
              <w:t>Students can expect an average of 1-3 homework assignments each week, including class readings.  Additionally, they shoul</w:t>
            </w:r>
            <w:r>
              <w:rPr>
                <w:sz w:val="20"/>
                <w:szCs w:val="20"/>
              </w:rPr>
              <w:t>d consistently be completing their weekly</w:t>
            </w:r>
            <w:r w:rsidRPr="005F768B">
              <w:rPr>
                <w:sz w:val="20"/>
                <w:szCs w:val="20"/>
              </w:rPr>
              <w:t xml:space="preserve"> independent reading assignments.  Generally, small homework assignments are due the day after they are assigned.  Larger papers and projects can be due anywhere from one week to four weeks after the date they are assigned.</w:t>
            </w:r>
            <w:r>
              <w:rPr>
                <w:sz w:val="20"/>
                <w:szCs w:val="20"/>
              </w:rPr>
              <w:t xml:space="preserve"> We will be using Remind.com for homework reminders. </w:t>
            </w:r>
            <w:r w:rsidRPr="005F768B">
              <w:rPr>
                <w:sz w:val="20"/>
                <w:szCs w:val="20"/>
              </w:rPr>
              <w:t xml:space="preserve">  </w:t>
            </w:r>
          </w:p>
          <w:p w:rsidR="00CD7CA8" w:rsidRPr="005F768B" w:rsidRDefault="00CD7CA8" w:rsidP="00CD7CA8">
            <w:pPr>
              <w:rPr>
                <w:b/>
                <w:sz w:val="20"/>
                <w:szCs w:val="20"/>
                <w:u w:val="single"/>
              </w:rPr>
            </w:pPr>
            <w:r w:rsidRPr="005F768B">
              <w:rPr>
                <w:b/>
                <w:sz w:val="20"/>
                <w:szCs w:val="20"/>
                <w:u w:val="single"/>
              </w:rPr>
              <w:t>Class Materials:</w:t>
            </w:r>
          </w:p>
          <w:p w:rsidR="00CD7CA8" w:rsidRDefault="00CD7CA8" w:rsidP="00CD7CA8">
            <w:pPr>
              <w:rPr>
                <w:sz w:val="20"/>
                <w:szCs w:val="20"/>
              </w:rPr>
            </w:pPr>
            <w:r>
              <w:rPr>
                <w:sz w:val="20"/>
                <w:szCs w:val="20"/>
              </w:rPr>
              <w:t xml:space="preserve">For this class you will need:  </w:t>
            </w:r>
          </w:p>
          <w:p w:rsidR="00CD7CA8" w:rsidRPr="00277C3E" w:rsidRDefault="00CD7CA8" w:rsidP="00CD7CA8">
            <w:pPr>
              <w:pStyle w:val="ListParagraph"/>
              <w:numPr>
                <w:ilvl w:val="0"/>
                <w:numId w:val="3"/>
              </w:numPr>
              <w:rPr>
                <w:sz w:val="20"/>
                <w:szCs w:val="20"/>
              </w:rPr>
            </w:pPr>
            <w:r>
              <w:rPr>
                <w:sz w:val="20"/>
                <w:szCs w:val="20"/>
              </w:rPr>
              <w:t xml:space="preserve">A folder </w:t>
            </w:r>
            <w:r w:rsidRPr="002E7A6F">
              <w:rPr>
                <w:b/>
                <w:sz w:val="20"/>
                <w:szCs w:val="20"/>
                <w:u w:val="single"/>
              </w:rPr>
              <w:t xml:space="preserve">or </w:t>
            </w:r>
            <w:r>
              <w:rPr>
                <w:sz w:val="20"/>
                <w:szCs w:val="20"/>
              </w:rPr>
              <w:t>3-ring binder (A folder or a binder should be specifically for this class.)</w:t>
            </w:r>
          </w:p>
          <w:p w:rsidR="00CD7CA8" w:rsidRPr="00277C3E" w:rsidRDefault="00CD7CA8" w:rsidP="00CD7CA8">
            <w:pPr>
              <w:numPr>
                <w:ilvl w:val="0"/>
                <w:numId w:val="3"/>
              </w:numPr>
              <w:rPr>
                <w:sz w:val="20"/>
                <w:szCs w:val="20"/>
              </w:rPr>
            </w:pPr>
            <w:r>
              <w:rPr>
                <w:sz w:val="20"/>
                <w:szCs w:val="20"/>
              </w:rPr>
              <w:t>2 spiral notebooks (One will be kept in the classroom and another will be for notes.)</w:t>
            </w:r>
          </w:p>
          <w:p w:rsidR="00CD7CA8" w:rsidRDefault="00CD7CA8" w:rsidP="00CD7CA8">
            <w:pPr>
              <w:numPr>
                <w:ilvl w:val="0"/>
                <w:numId w:val="3"/>
              </w:numPr>
              <w:rPr>
                <w:sz w:val="20"/>
                <w:szCs w:val="20"/>
              </w:rPr>
            </w:pPr>
            <w:r>
              <w:rPr>
                <w:sz w:val="20"/>
                <w:szCs w:val="20"/>
              </w:rPr>
              <w:t>Pencils</w:t>
            </w:r>
          </w:p>
          <w:p w:rsidR="00CD7CA8" w:rsidRDefault="00CD7CA8" w:rsidP="00CD7CA8">
            <w:pPr>
              <w:numPr>
                <w:ilvl w:val="0"/>
                <w:numId w:val="3"/>
              </w:numPr>
              <w:rPr>
                <w:sz w:val="20"/>
                <w:szCs w:val="20"/>
              </w:rPr>
            </w:pPr>
            <w:r>
              <w:rPr>
                <w:sz w:val="20"/>
                <w:szCs w:val="20"/>
              </w:rPr>
              <w:t>Pens (blue or black)</w:t>
            </w:r>
          </w:p>
          <w:p w:rsidR="00CD7CA8" w:rsidRDefault="00CD7CA8" w:rsidP="00CD7CA8">
            <w:pPr>
              <w:numPr>
                <w:ilvl w:val="0"/>
                <w:numId w:val="3"/>
              </w:numPr>
              <w:rPr>
                <w:sz w:val="20"/>
                <w:szCs w:val="20"/>
              </w:rPr>
            </w:pPr>
            <w:r>
              <w:rPr>
                <w:sz w:val="20"/>
                <w:szCs w:val="20"/>
              </w:rPr>
              <w:t>Colored pencils or markers</w:t>
            </w:r>
          </w:p>
          <w:p w:rsidR="00CD7CA8" w:rsidRDefault="00CD7CA8" w:rsidP="00CD7CA8">
            <w:pPr>
              <w:numPr>
                <w:ilvl w:val="0"/>
                <w:numId w:val="3"/>
              </w:numPr>
              <w:rPr>
                <w:sz w:val="20"/>
                <w:szCs w:val="20"/>
              </w:rPr>
            </w:pPr>
            <w:r>
              <w:rPr>
                <w:sz w:val="20"/>
                <w:szCs w:val="20"/>
              </w:rPr>
              <w:t>Highlighters (three different colors)</w:t>
            </w:r>
          </w:p>
          <w:p w:rsidR="00CD7CA8" w:rsidRDefault="00CD7CA8" w:rsidP="00CD7CA8">
            <w:pPr>
              <w:numPr>
                <w:ilvl w:val="0"/>
                <w:numId w:val="3"/>
              </w:numPr>
              <w:rPr>
                <w:sz w:val="20"/>
                <w:szCs w:val="20"/>
              </w:rPr>
            </w:pPr>
            <w:r>
              <w:rPr>
                <w:sz w:val="20"/>
                <w:szCs w:val="20"/>
              </w:rPr>
              <w:t>Post-it notes</w:t>
            </w:r>
          </w:p>
          <w:p w:rsidR="00CD7CA8" w:rsidRDefault="00CD7CA8" w:rsidP="00CD7CA8">
            <w:pPr>
              <w:numPr>
                <w:ilvl w:val="0"/>
                <w:numId w:val="3"/>
              </w:numPr>
              <w:rPr>
                <w:sz w:val="20"/>
                <w:szCs w:val="20"/>
              </w:rPr>
            </w:pPr>
            <w:r>
              <w:rPr>
                <w:sz w:val="20"/>
                <w:szCs w:val="20"/>
              </w:rPr>
              <w:t>Independent Reading book</w:t>
            </w:r>
          </w:p>
          <w:p w:rsidR="0048208A" w:rsidRDefault="00CD7CA8" w:rsidP="00CD7CA8">
            <w:pPr>
              <w:numPr>
                <w:ilvl w:val="0"/>
                <w:numId w:val="3"/>
              </w:numPr>
              <w:rPr>
                <w:sz w:val="20"/>
                <w:szCs w:val="20"/>
              </w:rPr>
            </w:pPr>
            <w:r w:rsidRPr="00CD7CA8">
              <w:rPr>
                <w:sz w:val="20"/>
                <w:szCs w:val="20"/>
              </w:rPr>
              <w:t>1 box of tissues</w:t>
            </w:r>
          </w:p>
          <w:p w:rsidR="00CD7CA8" w:rsidRDefault="00CD7CA8" w:rsidP="00CD7CA8">
            <w:pPr>
              <w:rPr>
                <w:sz w:val="20"/>
                <w:szCs w:val="20"/>
              </w:rPr>
            </w:pPr>
          </w:p>
          <w:p w:rsidR="00CD7CA8" w:rsidRDefault="00CD7CA8" w:rsidP="00CD7CA8">
            <w:pPr>
              <w:rPr>
                <w:sz w:val="20"/>
                <w:szCs w:val="20"/>
              </w:rPr>
            </w:pPr>
          </w:p>
          <w:p w:rsidR="00CD7CA8" w:rsidRDefault="00CD7CA8" w:rsidP="00CD7CA8">
            <w:pPr>
              <w:rPr>
                <w:sz w:val="20"/>
                <w:szCs w:val="20"/>
              </w:rPr>
            </w:pPr>
          </w:p>
          <w:p w:rsidR="00CD7CA8" w:rsidRDefault="00CD7CA8" w:rsidP="00CD7CA8">
            <w:pPr>
              <w:rPr>
                <w:sz w:val="20"/>
                <w:szCs w:val="20"/>
              </w:rPr>
            </w:pPr>
          </w:p>
          <w:p w:rsidR="00CD7CA8" w:rsidRDefault="00CD7CA8" w:rsidP="00CD7CA8">
            <w:pPr>
              <w:rPr>
                <w:sz w:val="20"/>
                <w:szCs w:val="20"/>
              </w:rPr>
            </w:pPr>
          </w:p>
          <w:p w:rsidR="00CD7CA8" w:rsidRDefault="00CD7CA8" w:rsidP="00CD7CA8">
            <w:pPr>
              <w:rPr>
                <w:sz w:val="20"/>
                <w:szCs w:val="20"/>
              </w:rPr>
            </w:pPr>
          </w:p>
          <w:p w:rsidR="00CD7CA8" w:rsidRDefault="00CD7CA8" w:rsidP="00CD7CA8">
            <w:pPr>
              <w:rPr>
                <w:sz w:val="20"/>
                <w:szCs w:val="20"/>
              </w:rPr>
            </w:pPr>
          </w:p>
          <w:p w:rsidR="00CD7CA8" w:rsidRPr="00CD7CA8" w:rsidRDefault="00CD7CA8" w:rsidP="00CD7CA8">
            <w:pPr>
              <w:rPr>
                <w:sz w:val="20"/>
                <w:szCs w:val="20"/>
              </w:rPr>
            </w:pPr>
          </w:p>
        </w:tc>
      </w:tr>
      <w:tr w:rsidR="0048208A" w:rsidRPr="00A5101C" w:rsidTr="001C3533">
        <w:tc>
          <w:tcPr>
            <w:tcW w:w="10015" w:type="dxa"/>
            <w:tcBorders>
              <w:bottom w:val="single" w:sz="4" w:space="0" w:color="auto"/>
            </w:tcBorders>
            <w:shd w:val="clear" w:color="auto" w:fill="D9D9D9" w:themeFill="background1" w:themeFillShade="D9"/>
          </w:tcPr>
          <w:p w:rsidR="0048208A" w:rsidRPr="00F32FCB" w:rsidRDefault="0048208A" w:rsidP="001C3533">
            <w:pPr>
              <w:jc w:val="center"/>
              <w:rPr>
                <w:rFonts w:cstheme="minorHAnsi"/>
                <w:b/>
              </w:rPr>
            </w:pPr>
            <w:r w:rsidRPr="00F32FCB">
              <w:rPr>
                <w:rFonts w:cstheme="minorHAnsi"/>
                <w:b/>
              </w:rPr>
              <w:lastRenderedPageBreak/>
              <w:t>Student Expectations</w:t>
            </w:r>
          </w:p>
        </w:tc>
      </w:tr>
      <w:tr w:rsidR="0048208A" w:rsidRPr="003C51E9" w:rsidTr="001C3533">
        <w:tc>
          <w:tcPr>
            <w:tcW w:w="10015" w:type="dxa"/>
            <w:shd w:val="clear" w:color="auto" w:fill="auto"/>
          </w:tcPr>
          <w:p w:rsidR="00CD7CA8" w:rsidRDefault="00CD7CA8" w:rsidP="00CD7CA8">
            <w:pPr>
              <w:numPr>
                <w:ilvl w:val="0"/>
                <w:numId w:val="6"/>
              </w:numPr>
              <w:rPr>
                <w:b/>
                <w:sz w:val="20"/>
                <w:szCs w:val="20"/>
              </w:rPr>
            </w:pPr>
            <w:r w:rsidRPr="00A46C56">
              <w:rPr>
                <w:b/>
                <w:sz w:val="20"/>
                <w:szCs w:val="20"/>
              </w:rPr>
              <w:t>Your attendance is important!</w:t>
            </w:r>
            <w:r>
              <w:rPr>
                <w:sz w:val="20"/>
                <w:szCs w:val="20"/>
              </w:rPr>
              <w:t xml:space="preserve"> You should be present</w:t>
            </w:r>
            <w:r w:rsidRPr="0073258F">
              <w:rPr>
                <w:i/>
                <w:sz w:val="20"/>
                <w:szCs w:val="20"/>
              </w:rPr>
              <w:t xml:space="preserve"> physically</w:t>
            </w:r>
            <w:r>
              <w:rPr>
                <w:sz w:val="20"/>
                <w:szCs w:val="20"/>
              </w:rPr>
              <w:t xml:space="preserve"> and </w:t>
            </w:r>
            <w:r w:rsidRPr="0073258F">
              <w:rPr>
                <w:i/>
                <w:sz w:val="20"/>
                <w:szCs w:val="20"/>
              </w:rPr>
              <w:t>mentally</w:t>
            </w:r>
            <w:r>
              <w:rPr>
                <w:sz w:val="20"/>
                <w:szCs w:val="20"/>
              </w:rPr>
              <w:t xml:space="preserve">. </w:t>
            </w:r>
            <w:r w:rsidRPr="005F768B">
              <w:rPr>
                <w:sz w:val="20"/>
                <w:szCs w:val="20"/>
              </w:rPr>
              <w:t xml:space="preserve">Your purpose here is to work toward your graduation and high school diploma, which will open many doors for you. I am here to help you do this.  In order for us to be successful, I </w:t>
            </w:r>
            <w:r>
              <w:rPr>
                <w:sz w:val="20"/>
                <w:szCs w:val="20"/>
              </w:rPr>
              <w:t xml:space="preserve">promise to come to class excited and prepared to teach you. </w:t>
            </w:r>
            <w:r w:rsidRPr="005F768B">
              <w:rPr>
                <w:sz w:val="20"/>
                <w:szCs w:val="20"/>
              </w:rPr>
              <w:t xml:space="preserve">You should come to class motivated and ready to learn something new every day.  </w:t>
            </w:r>
            <w:r w:rsidRPr="005F768B">
              <w:rPr>
                <w:b/>
                <w:sz w:val="20"/>
                <w:szCs w:val="20"/>
              </w:rPr>
              <w:t>Every class period counts on your journey to graduation!</w:t>
            </w:r>
          </w:p>
          <w:p w:rsidR="00CD7CA8" w:rsidRPr="005F768B" w:rsidRDefault="00CD7CA8" w:rsidP="00CD7CA8">
            <w:pPr>
              <w:numPr>
                <w:ilvl w:val="0"/>
                <w:numId w:val="6"/>
              </w:numPr>
              <w:rPr>
                <w:sz w:val="20"/>
                <w:szCs w:val="20"/>
              </w:rPr>
            </w:pPr>
            <w:r w:rsidRPr="0073258F">
              <w:rPr>
                <w:b/>
                <w:sz w:val="20"/>
                <w:szCs w:val="20"/>
              </w:rPr>
              <w:t>RESPECT!</w:t>
            </w:r>
            <w:r>
              <w:rPr>
                <w:sz w:val="20"/>
                <w:szCs w:val="20"/>
              </w:rPr>
              <w:t xml:space="preserve"> </w:t>
            </w:r>
            <w:r w:rsidRPr="005F768B">
              <w:rPr>
                <w:sz w:val="20"/>
                <w:szCs w:val="20"/>
              </w:rPr>
              <w:t>All students have a right to learn in a respectful and safe environment.  In order for our classroom to be safe and comfortable for eve</w:t>
            </w:r>
            <w:r>
              <w:rPr>
                <w:sz w:val="20"/>
                <w:szCs w:val="20"/>
              </w:rPr>
              <w:t>ryone every day, you and I must</w:t>
            </w:r>
            <w:r w:rsidRPr="005F768B">
              <w:rPr>
                <w:sz w:val="20"/>
                <w:szCs w:val="20"/>
              </w:rPr>
              <w:t xml:space="preserve"> honor the rule, known as the </w:t>
            </w:r>
            <w:r w:rsidRPr="005F768B">
              <w:rPr>
                <w:b/>
                <w:sz w:val="20"/>
                <w:szCs w:val="20"/>
              </w:rPr>
              <w:t>6 P’s</w:t>
            </w:r>
            <w:r>
              <w:rPr>
                <w:sz w:val="20"/>
                <w:szCs w:val="20"/>
              </w:rPr>
              <w:t>.  We will go over these guidelines in detail the first week of class.</w:t>
            </w:r>
          </w:p>
          <w:p w:rsidR="00CD7CA8" w:rsidRPr="00AA23DC" w:rsidRDefault="00CD7CA8" w:rsidP="00CD7CA8">
            <w:pPr>
              <w:numPr>
                <w:ilvl w:val="0"/>
                <w:numId w:val="6"/>
              </w:numPr>
              <w:rPr>
                <w:sz w:val="20"/>
                <w:szCs w:val="20"/>
              </w:rPr>
            </w:pPr>
            <w:r>
              <w:rPr>
                <w:sz w:val="20"/>
                <w:szCs w:val="20"/>
              </w:rPr>
              <w:t xml:space="preserve">Food and drink will NOT be allowed in the class. Water is fine for bring to class if you keep it in a water bottle with a lid. If you need a snack make sure you eat your snack during passing period. </w:t>
            </w:r>
          </w:p>
          <w:p w:rsidR="00CD7CA8" w:rsidRPr="005F768B" w:rsidRDefault="00CD7CA8" w:rsidP="00CD7CA8">
            <w:pPr>
              <w:numPr>
                <w:ilvl w:val="0"/>
                <w:numId w:val="6"/>
              </w:numPr>
              <w:rPr>
                <w:sz w:val="20"/>
                <w:szCs w:val="20"/>
              </w:rPr>
            </w:pPr>
            <w:r w:rsidRPr="00CD2E32">
              <w:rPr>
                <w:b/>
                <w:sz w:val="20"/>
                <w:szCs w:val="20"/>
              </w:rPr>
              <w:t>CELL PHONES/ELECTRONICS:</w:t>
            </w:r>
            <w:r>
              <w:rPr>
                <w:sz w:val="20"/>
                <w:szCs w:val="20"/>
              </w:rPr>
              <w:t xml:space="preserve"> If I see your cell phone or any other electronic device out without my permission, I will take them away.  If this becomes an ongoing problem, we will deal with it through Student Relations.  </w:t>
            </w:r>
          </w:p>
          <w:p w:rsidR="00CD7CA8" w:rsidRDefault="00CD7CA8" w:rsidP="00CD7CA8">
            <w:pPr>
              <w:numPr>
                <w:ilvl w:val="0"/>
                <w:numId w:val="6"/>
              </w:numPr>
              <w:rPr>
                <w:sz w:val="20"/>
                <w:szCs w:val="20"/>
              </w:rPr>
            </w:pPr>
            <w:r w:rsidRPr="005F768B">
              <w:rPr>
                <w:sz w:val="20"/>
                <w:szCs w:val="20"/>
              </w:rPr>
              <w:t>I expect high standards of honesty and ethical behavior from you and myself.  ANYONE who behaves in an unethical way will experience the appropriate consequences, which may include no credit on assignments that are copied or plagiarized, as well as discipline referrals.  As you work on homework and projects, ask me if you have any questions about the correct way to cite your sources.  In short, do your own thinking and your own work.</w:t>
            </w:r>
            <w:r w:rsidRPr="00FF7944">
              <w:rPr>
                <w:rFonts w:cstheme="minorHAnsi"/>
                <w:b/>
                <w:spacing w:val="-10"/>
                <w:sz w:val="20"/>
                <w:szCs w:val="20"/>
              </w:rPr>
              <w:t xml:space="preserve"> Plagiarism or cheating/copying</w:t>
            </w:r>
            <w:r w:rsidRPr="00FF7944">
              <w:rPr>
                <w:rFonts w:cstheme="minorHAnsi"/>
                <w:spacing w:val="-10"/>
                <w:sz w:val="20"/>
                <w:szCs w:val="20"/>
              </w:rPr>
              <w:t xml:space="preserve"> of any sort will result in a loss of credit for the entire assignment.  If you are working with a classmate, your writing should still be individual.  All plagiarism incidents will be documented and referred to Student Relations as well as the Assistant Principal in charge of Curriculum and</w:t>
            </w:r>
            <w:r>
              <w:rPr>
                <w:rFonts w:cstheme="minorHAnsi"/>
                <w:spacing w:val="-10"/>
                <w:sz w:val="20"/>
                <w:szCs w:val="20"/>
              </w:rPr>
              <w:t xml:space="preserve"> Instruction.</w:t>
            </w:r>
          </w:p>
          <w:p w:rsidR="0048208A" w:rsidRPr="00CD7CA8" w:rsidRDefault="00CD7CA8" w:rsidP="00CD7CA8">
            <w:pPr>
              <w:numPr>
                <w:ilvl w:val="0"/>
                <w:numId w:val="6"/>
              </w:numPr>
              <w:rPr>
                <w:sz w:val="20"/>
                <w:szCs w:val="20"/>
              </w:rPr>
            </w:pPr>
            <w:bookmarkStart w:id="0" w:name="_GoBack"/>
            <w:bookmarkEnd w:id="0"/>
            <w:r w:rsidRPr="00CD7CA8">
              <w:rPr>
                <w:b/>
                <w:sz w:val="20"/>
                <w:szCs w:val="20"/>
              </w:rPr>
              <w:t>Communication is key!</w:t>
            </w:r>
            <w:r w:rsidRPr="00CD7CA8">
              <w:rPr>
                <w:sz w:val="20"/>
                <w:szCs w:val="20"/>
              </w:rPr>
              <w:t xml:space="preserve"> It is very important that you communicate with me about any issues that may impact your success.  Please visit during Norse Success, lunch time, or during a free period. The best way to get in touch with me outside of class is via email.</w:t>
            </w:r>
          </w:p>
        </w:tc>
      </w:tr>
    </w:tbl>
    <w:p w:rsidR="00334458" w:rsidRPr="00BA3244" w:rsidRDefault="00334458"/>
    <w:p w:rsidR="000C2956" w:rsidRDefault="000C2956"/>
    <w:sectPr w:rsidR="000C2956" w:rsidSect="00AA1B6B">
      <w:headerReference w:type="default" r:id="rId13"/>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03" w:rsidRDefault="005D7803" w:rsidP="00AA1B6B">
      <w:r>
        <w:separator/>
      </w:r>
    </w:p>
  </w:endnote>
  <w:endnote w:type="continuationSeparator" w:id="0">
    <w:p w:rsidR="005D7803" w:rsidRDefault="005D7803"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03" w:rsidRDefault="005D7803" w:rsidP="00AA1B6B">
      <w:r>
        <w:separator/>
      </w:r>
    </w:p>
  </w:footnote>
  <w:footnote w:type="continuationSeparator" w:id="0">
    <w:p w:rsidR="005D7803" w:rsidRDefault="005D7803"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3" name="Picture 3"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20F7B"/>
    <w:multiLevelType w:val="hybridMultilevel"/>
    <w:tmpl w:val="16A05E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25AC2"/>
    <w:multiLevelType w:val="hybridMultilevel"/>
    <w:tmpl w:val="3DCE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461E9"/>
    <w:multiLevelType w:val="hybridMultilevel"/>
    <w:tmpl w:val="D3FAAEB4"/>
    <w:lvl w:ilvl="0" w:tplc="14F2F1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E731C2"/>
    <w:multiLevelType w:val="hybridMultilevel"/>
    <w:tmpl w:val="5AE2F7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957E9D"/>
    <w:multiLevelType w:val="hybridMultilevel"/>
    <w:tmpl w:val="1D3CFB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C1E90"/>
    <w:rsid w:val="000C2956"/>
    <w:rsid w:val="00114E60"/>
    <w:rsid w:val="00123432"/>
    <w:rsid w:val="00147FA3"/>
    <w:rsid w:val="001774C4"/>
    <w:rsid w:val="001A3F89"/>
    <w:rsid w:val="001B4331"/>
    <w:rsid w:val="001D02DE"/>
    <w:rsid w:val="001F2D97"/>
    <w:rsid w:val="001F36A4"/>
    <w:rsid w:val="00202F29"/>
    <w:rsid w:val="00227626"/>
    <w:rsid w:val="00253F4C"/>
    <w:rsid w:val="002A6DBB"/>
    <w:rsid w:val="002E44A2"/>
    <w:rsid w:val="00313CCA"/>
    <w:rsid w:val="00334458"/>
    <w:rsid w:val="00334DC2"/>
    <w:rsid w:val="003370F5"/>
    <w:rsid w:val="003372A6"/>
    <w:rsid w:val="00370B25"/>
    <w:rsid w:val="0037714E"/>
    <w:rsid w:val="003C51E9"/>
    <w:rsid w:val="003E2265"/>
    <w:rsid w:val="0048208A"/>
    <w:rsid w:val="004A1A06"/>
    <w:rsid w:val="004B6B2F"/>
    <w:rsid w:val="004E077F"/>
    <w:rsid w:val="004E5199"/>
    <w:rsid w:val="004E7B94"/>
    <w:rsid w:val="005073D3"/>
    <w:rsid w:val="00530349"/>
    <w:rsid w:val="00570649"/>
    <w:rsid w:val="00581A77"/>
    <w:rsid w:val="00585FF2"/>
    <w:rsid w:val="005D7803"/>
    <w:rsid w:val="005E1321"/>
    <w:rsid w:val="0062255C"/>
    <w:rsid w:val="00630FA8"/>
    <w:rsid w:val="00654580"/>
    <w:rsid w:val="00664BCC"/>
    <w:rsid w:val="006A14C8"/>
    <w:rsid w:val="00710D9D"/>
    <w:rsid w:val="0071233A"/>
    <w:rsid w:val="00785732"/>
    <w:rsid w:val="007B5691"/>
    <w:rsid w:val="007C4831"/>
    <w:rsid w:val="007D2E64"/>
    <w:rsid w:val="00806927"/>
    <w:rsid w:val="008139FF"/>
    <w:rsid w:val="00834655"/>
    <w:rsid w:val="008547ED"/>
    <w:rsid w:val="008672F0"/>
    <w:rsid w:val="008743AB"/>
    <w:rsid w:val="008B1D7D"/>
    <w:rsid w:val="008E5670"/>
    <w:rsid w:val="008F3CB0"/>
    <w:rsid w:val="009C7675"/>
    <w:rsid w:val="00A01E41"/>
    <w:rsid w:val="00A042B3"/>
    <w:rsid w:val="00A10603"/>
    <w:rsid w:val="00A5101C"/>
    <w:rsid w:val="00A523E0"/>
    <w:rsid w:val="00A81F05"/>
    <w:rsid w:val="00A84AF8"/>
    <w:rsid w:val="00A9300C"/>
    <w:rsid w:val="00AA1B6B"/>
    <w:rsid w:val="00AA5F6A"/>
    <w:rsid w:val="00AE15BF"/>
    <w:rsid w:val="00B60605"/>
    <w:rsid w:val="00B930F8"/>
    <w:rsid w:val="00BA3244"/>
    <w:rsid w:val="00BA6E62"/>
    <w:rsid w:val="00C110EA"/>
    <w:rsid w:val="00C63606"/>
    <w:rsid w:val="00C8073C"/>
    <w:rsid w:val="00C93E07"/>
    <w:rsid w:val="00CB4D6A"/>
    <w:rsid w:val="00CD7CA8"/>
    <w:rsid w:val="00CE711F"/>
    <w:rsid w:val="00D4493D"/>
    <w:rsid w:val="00D51BFC"/>
    <w:rsid w:val="00D7735A"/>
    <w:rsid w:val="00D82199"/>
    <w:rsid w:val="00D83FA3"/>
    <w:rsid w:val="00DA7133"/>
    <w:rsid w:val="00DB5D0B"/>
    <w:rsid w:val="00DE60BD"/>
    <w:rsid w:val="00E21871"/>
    <w:rsid w:val="00E53B87"/>
    <w:rsid w:val="00E65EEC"/>
    <w:rsid w:val="00E67059"/>
    <w:rsid w:val="00EB1C2B"/>
    <w:rsid w:val="00EC1313"/>
    <w:rsid w:val="00EE3DC4"/>
    <w:rsid w:val="00EE4ABE"/>
    <w:rsid w:val="00F03AB0"/>
    <w:rsid w:val="00F262A0"/>
    <w:rsid w:val="00F32FCB"/>
    <w:rsid w:val="00F4722C"/>
    <w:rsid w:val="00F738DD"/>
    <w:rsid w:val="00F96537"/>
    <w:rsid w:val="00F969F0"/>
    <w:rsid w:val="00FE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89C5B-7A34-40D6-B5A1-05169D41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vizoenglish.weebl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ingfamily.com/family/Media.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sensemed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dreads.com"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E91E-FD57-483B-BB90-2B703541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Lorraine Arvizo</cp:lastModifiedBy>
  <cp:revision>5</cp:revision>
  <cp:lastPrinted>2011-11-03T17:03:00Z</cp:lastPrinted>
  <dcterms:created xsi:type="dcterms:W3CDTF">2015-08-19T14:18:00Z</dcterms:created>
  <dcterms:modified xsi:type="dcterms:W3CDTF">2015-08-19T22:46:00Z</dcterms:modified>
</cp:coreProperties>
</file>