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32" w:rsidRDefault="0076239E">
      <w:r>
        <w:t>NAME: ___________________________ PER. _____</w:t>
      </w:r>
      <w:r>
        <w:tab/>
      </w:r>
      <w:r>
        <w:tab/>
      </w:r>
      <w:r>
        <w:tab/>
      </w:r>
      <w:r>
        <w:tab/>
        <w:t>“</w:t>
      </w:r>
      <w:r w:rsidRPr="0076239E">
        <w:rPr>
          <w:b/>
        </w:rPr>
        <w:t>Speaking of Courage</w:t>
      </w:r>
      <w:r>
        <w:rPr>
          <w:b/>
        </w:rPr>
        <w:t>”</w:t>
      </w:r>
      <w:r w:rsidRPr="0076239E">
        <w:rPr>
          <w:b/>
        </w:rPr>
        <w:t xml:space="preserve"> and </w:t>
      </w:r>
      <w:r>
        <w:rPr>
          <w:b/>
        </w:rPr>
        <w:t>“</w:t>
      </w:r>
      <w:r w:rsidRPr="0076239E">
        <w:rPr>
          <w:b/>
        </w:rPr>
        <w:t>Notes</w:t>
      </w:r>
      <w:r>
        <w:rPr>
          <w:b/>
        </w:rPr>
        <w:t>”</w:t>
      </w:r>
    </w:p>
    <w:p w:rsidR="0076239E" w:rsidRDefault="0076239E">
      <w:r w:rsidRPr="0076239E">
        <w:rPr>
          <w:b/>
        </w:rPr>
        <w:t>INSTRUCTIONS:</w:t>
      </w:r>
      <w:r>
        <w:t xml:space="preserve"> Today you will read the chapt</w:t>
      </w:r>
      <w:r w:rsidR="00F44CAB">
        <w:t>ers “Speaking of Courage” and “N</w:t>
      </w:r>
      <w:r>
        <w:t>otes” aloud in your groups. Figure out who will read each of the following sections aloud</w:t>
      </w:r>
      <w:r w:rsidR="00F44CAB">
        <w:t>. (Yes, some of you will read more than once.)</w:t>
      </w:r>
      <w:r>
        <w:t xml:space="preserve"> Then, after you read each section, pause and fill in the corresponding square in the </w:t>
      </w:r>
      <w:r w:rsidR="00F44CAB">
        <w:t>note catcher</w:t>
      </w:r>
      <w:r>
        <w:t xml:space="preserve"> below.</w:t>
      </w:r>
    </w:p>
    <w:tbl>
      <w:tblPr>
        <w:tblStyle w:val="TableGrid"/>
        <w:tblW w:w="0" w:type="auto"/>
        <w:tblLook w:val="04A0" w:firstRow="1" w:lastRow="0" w:firstColumn="1" w:lastColumn="0" w:noHBand="0" w:noVBand="1"/>
      </w:tblPr>
      <w:tblGrid>
        <w:gridCol w:w="2268"/>
        <w:gridCol w:w="5076"/>
      </w:tblGrid>
      <w:tr w:rsidR="006B060B" w:rsidTr="006B060B">
        <w:tc>
          <w:tcPr>
            <w:tcW w:w="2268" w:type="dxa"/>
          </w:tcPr>
          <w:p w:rsidR="006B060B" w:rsidRDefault="006B060B">
            <w:r>
              <w:t>Page Range</w:t>
            </w:r>
          </w:p>
          <w:p w:rsidR="00474CB7" w:rsidRDefault="00474CB7">
            <w:r>
              <w:t>Paperback/Hardback</w:t>
            </w:r>
          </w:p>
        </w:tc>
        <w:tc>
          <w:tcPr>
            <w:tcW w:w="5076" w:type="dxa"/>
          </w:tcPr>
          <w:p w:rsidR="006B060B" w:rsidRDefault="006B060B">
            <w:r>
              <w:t>Name of person who will read these pages aloud:</w:t>
            </w:r>
          </w:p>
        </w:tc>
      </w:tr>
      <w:tr w:rsidR="006B060B" w:rsidTr="006B060B">
        <w:tc>
          <w:tcPr>
            <w:tcW w:w="2268" w:type="dxa"/>
          </w:tcPr>
          <w:p w:rsidR="006B060B" w:rsidRDefault="006B060B">
            <w:r>
              <w:t>131-134</w:t>
            </w:r>
            <w:r w:rsidR="00474CB7">
              <w:t xml:space="preserve"> / 137-141</w:t>
            </w:r>
          </w:p>
        </w:tc>
        <w:tc>
          <w:tcPr>
            <w:tcW w:w="5076" w:type="dxa"/>
          </w:tcPr>
          <w:p w:rsidR="006B060B" w:rsidRPr="00715E24" w:rsidRDefault="006B060B"/>
        </w:tc>
      </w:tr>
      <w:tr w:rsidR="006B060B" w:rsidTr="006B060B">
        <w:tc>
          <w:tcPr>
            <w:tcW w:w="2268" w:type="dxa"/>
          </w:tcPr>
          <w:p w:rsidR="006B060B" w:rsidRDefault="006B060B">
            <w:r>
              <w:t>135-138</w:t>
            </w:r>
            <w:r w:rsidR="00474CB7">
              <w:t xml:space="preserve"> / 141-145</w:t>
            </w:r>
          </w:p>
        </w:tc>
        <w:tc>
          <w:tcPr>
            <w:tcW w:w="5076" w:type="dxa"/>
          </w:tcPr>
          <w:p w:rsidR="006B060B" w:rsidRPr="00715E24" w:rsidRDefault="006B060B"/>
        </w:tc>
      </w:tr>
      <w:tr w:rsidR="006B060B" w:rsidTr="006B060B">
        <w:tc>
          <w:tcPr>
            <w:tcW w:w="2268" w:type="dxa"/>
          </w:tcPr>
          <w:p w:rsidR="006B060B" w:rsidRDefault="006B060B">
            <w:r>
              <w:t>139-140</w:t>
            </w:r>
            <w:r w:rsidR="00474CB7">
              <w:t xml:space="preserve"> / 145-147</w:t>
            </w:r>
          </w:p>
        </w:tc>
        <w:tc>
          <w:tcPr>
            <w:tcW w:w="5076" w:type="dxa"/>
          </w:tcPr>
          <w:p w:rsidR="006B060B" w:rsidRPr="00715E24" w:rsidRDefault="006B060B"/>
        </w:tc>
      </w:tr>
      <w:tr w:rsidR="006B060B" w:rsidTr="006B060B">
        <w:tc>
          <w:tcPr>
            <w:tcW w:w="2268" w:type="dxa"/>
          </w:tcPr>
          <w:p w:rsidR="006B060B" w:rsidRDefault="006B060B">
            <w:r>
              <w:t>141-143</w:t>
            </w:r>
            <w:r w:rsidR="00474CB7">
              <w:t xml:space="preserve"> / 147-150</w:t>
            </w:r>
          </w:p>
        </w:tc>
        <w:tc>
          <w:tcPr>
            <w:tcW w:w="5076" w:type="dxa"/>
          </w:tcPr>
          <w:p w:rsidR="006B060B" w:rsidRDefault="006B060B"/>
        </w:tc>
      </w:tr>
      <w:tr w:rsidR="006B060B" w:rsidTr="006B060B">
        <w:tc>
          <w:tcPr>
            <w:tcW w:w="2268" w:type="dxa"/>
          </w:tcPr>
          <w:p w:rsidR="006B060B" w:rsidRDefault="006B060B">
            <w:r>
              <w:t>144-145</w:t>
            </w:r>
            <w:r w:rsidR="00474CB7">
              <w:t xml:space="preserve"> / 150-153</w:t>
            </w:r>
          </w:p>
        </w:tc>
        <w:tc>
          <w:tcPr>
            <w:tcW w:w="5076" w:type="dxa"/>
          </w:tcPr>
          <w:p w:rsidR="006B060B" w:rsidRDefault="006B060B"/>
        </w:tc>
      </w:tr>
      <w:tr w:rsidR="006B060B" w:rsidTr="006B060B">
        <w:tc>
          <w:tcPr>
            <w:tcW w:w="2268" w:type="dxa"/>
          </w:tcPr>
          <w:p w:rsidR="006B060B" w:rsidRDefault="006B060B">
            <w:r>
              <w:t>146-147</w:t>
            </w:r>
            <w:r w:rsidR="00474CB7">
              <w:t xml:space="preserve"> /153-154</w:t>
            </w:r>
          </w:p>
        </w:tc>
        <w:tc>
          <w:tcPr>
            <w:tcW w:w="5076" w:type="dxa"/>
          </w:tcPr>
          <w:p w:rsidR="006B060B" w:rsidRDefault="006B060B"/>
        </w:tc>
      </w:tr>
    </w:tbl>
    <w:p w:rsidR="006B060B" w:rsidRDefault="006B060B"/>
    <w:tbl>
      <w:tblPr>
        <w:tblStyle w:val="TableGrid"/>
        <w:tblW w:w="0" w:type="auto"/>
        <w:tblLook w:val="04A0" w:firstRow="1" w:lastRow="0" w:firstColumn="1" w:lastColumn="0" w:noHBand="0" w:noVBand="1"/>
      </w:tblPr>
      <w:tblGrid>
        <w:gridCol w:w="5508"/>
        <w:gridCol w:w="5508"/>
      </w:tblGrid>
      <w:tr w:rsidR="006B060B" w:rsidTr="006B060B">
        <w:tc>
          <w:tcPr>
            <w:tcW w:w="5508" w:type="dxa"/>
          </w:tcPr>
          <w:p w:rsidR="006B060B" w:rsidRPr="002C26EF" w:rsidRDefault="006B060B">
            <w:pPr>
              <w:rPr>
                <w:sz w:val="20"/>
                <w:szCs w:val="20"/>
              </w:rPr>
            </w:pPr>
            <w:r w:rsidRPr="002C26EF">
              <w:rPr>
                <w:sz w:val="20"/>
                <w:szCs w:val="20"/>
              </w:rPr>
              <w:t xml:space="preserve">Pages </w:t>
            </w:r>
            <w:r w:rsidRPr="00F44CAB">
              <w:rPr>
                <w:b/>
                <w:sz w:val="20"/>
                <w:szCs w:val="20"/>
              </w:rPr>
              <w:t>131-134</w:t>
            </w:r>
            <w:r w:rsidR="00474CB7">
              <w:rPr>
                <w:sz w:val="20"/>
                <w:szCs w:val="20"/>
              </w:rPr>
              <w:t xml:space="preserve"> (Hardback </w:t>
            </w:r>
            <w:r w:rsidR="00474CB7">
              <w:t>137-141</w:t>
            </w:r>
            <w:r w:rsidR="00474CB7">
              <w:rPr>
                <w:sz w:val="20"/>
                <w:szCs w:val="20"/>
              </w:rPr>
              <w:t>)</w:t>
            </w:r>
          </w:p>
          <w:p w:rsidR="002C26EF" w:rsidRDefault="002C26EF">
            <w:pPr>
              <w:rPr>
                <w:sz w:val="20"/>
                <w:szCs w:val="20"/>
              </w:rPr>
            </w:pPr>
            <w:r w:rsidRPr="00715E24">
              <w:rPr>
                <w:sz w:val="20"/>
                <w:szCs w:val="20"/>
              </w:rPr>
              <w:t>Draw a picture of the setting for this story and label the different parts of your picture.</w:t>
            </w:r>
            <w:r w:rsidRPr="002C26EF">
              <w:rPr>
                <w:sz w:val="20"/>
                <w:szCs w:val="20"/>
              </w:rPr>
              <w:t xml:space="preserve"> </w:t>
            </w: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Pr="002C26EF" w:rsidRDefault="002C26EF">
            <w:pPr>
              <w:rPr>
                <w:sz w:val="20"/>
                <w:szCs w:val="20"/>
              </w:rPr>
            </w:pPr>
          </w:p>
        </w:tc>
        <w:tc>
          <w:tcPr>
            <w:tcW w:w="5508" w:type="dxa"/>
          </w:tcPr>
          <w:p w:rsidR="006B060B" w:rsidRPr="002C26EF" w:rsidRDefault="006B060B">
            <w:pPr>
              <w:rPr>
                <w:sz w:val="20"/>
                <w:szCs w:val="20"/>
              </w:rPr>
            </w:pPr>
            <w:r w:rsidRPr="002C26EF">
              <w:rPr>
                <w:sz w:val="20"/>
                <w:szCs w:val="20"/>
              </w:rPr>
              <w:t xml:space="preserve">Pages </w:t>
            </w:r>
            <w:r w:rsidRPr="00F44CAB">
              <w:rPr>
                <w:b/>
                <w:sz w:val="20"/>
                <w:szCs w:val="20"/>
              </w:rPr>
              <w:t>135-138</w:t>
            </w:r>
            <w:r w:rsidR="00474CB7">
              <w:rPr>
                <w:sz w:val="20"/>
                <w:szCs w:val="20"/>
              </w:rPr>
              <w:t xml:space="preserve">  (Hardback </w:t>
            </w:r>
            <w:r w:rsidR="00474CB7">
              <w:t>141-145</w:t>
            </w:r>
            <w:r w:rsidR="00474CB7">
              <w:rPr>
                <w:sz w:val="20"/>
                <w:szCs w:val="20"/>
              </w:rPr>
              <w:t>)</w:t>
            </w:r>
          </w:p>
          <w:p w:rsidR="002C26EF" w:rsidRPr="002C26EF" w:rsidRDefault="002C26EF">
            <w:pPr>
              <w:rPr>
                <w:sz w:val="20"/>
                <w:szCs w:val="20"/>
              </w:rPr>
            </w:pPr>
            <w:r w:rsidRPr="002C26EF">
              <w:rPr>
                <w:sz w:val="20"/>
                <w:szCs w:val="20"/>
              </w:rPr>
              <w:t>What is the significance of the different medals in this chapter? You can draw pictures and/or write your response.</w:t>
            </w:r>
          </w:p>
        </w:tc>
      </w:tr>
      <w:tr w:rsidR="006B060B" w:rsidTr="006B060B">
        <w:tc>
          <w:tcPr>
            <w:tcW w:w="5508" w:type="dxa"/>
          </w:tcPr>
          <w:p w:rsidR="006B060B" w:rsidRPr="002C26EF" w:rsidRDefault="006B060B">
            <w:pPr>
              <w:rPr>
                <w:sz w:val="20"/>
                <w:szCs w:val="20"/>
              </w:rPr>
            </w:pPr>
            <w:r w:rsidRPr="002C26EF">
              <w:rPr>
                <w:sz w:val="20"/>
                <w:szCs w:val="20"/>
              </w:rPr>
              <w:t xml:space="preserve">Pages </w:t>
            </w:r>
            <w:r w:rsidRPr="00F44CAB">
              <w:rPr>
                <w:b/>
                <w:sz w:val="20"/>
                <w:szCs w:val="20"/>
              </w:rPr>
              <w:t>139-140</w:t>
            </w:r>
            <w:r w:rsidR="00474CB7">
              <w:rPr>
                <w:sz w:val="20"/>
                <w:szCs w:val="20"/>
              </w:rPr>
              <w:t xml:space="preserve">  (Hardback </w:t>
            </w:r>
            <w:r w:rsidR="004603BF">
              <w:t>145-147</w:t>
            </w:r>
            <w:r w:rsidR="00474CB7">
              <w:rPr>
                <w:sz w:val="20"/>
                <w:szCs w:val="20"/>
              </w:rPr>
              <w:t>)</w:t>
            </w:r>
          </w:p>
          <w:p w:rsidR="002C26EF" w:rsidRDefault="002C26EF">
            <w:pPr>
              <w:rPr>
                <w:sz w:val="20"/>
                <w:szCs w:val="20"/>
              </w:rPr>
            </w:pPr>
            <w:r w:rsidRPr="002C26EF">
              <w:rPr>
                <w:sz w:val="20"/>
                <w:szCs w:val="20"/>
              </w:rPr>
              <w:t xml:space="preserve">Why does he write about a particular smell? You can draw pictures and/or write your response. </w:t>
            </w: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Pr="002C26EF" w:rsidRDefault="002C26EF">
            <w:pPr>
              <w:rPr>
                <w:sz w:val="20"/>
                <w:szCs w:val="20"/>
              </w:rPr>
            </w:pPr>
          </w:p>
        </w:tc>
        <w:tc>
          <w:tcPr>
            <w:tcW w:w="5508" w:type="dxa"/>
          </w:tcPr>
          <w:p w:rsidR="006B060B" w:rsidRPr="00715E24" w:rsidRDefault="006B060B">
            <w:pPr>
              <w:rPr>
                <w:sz w:val="20"/>
                <w:szCs w:val="20"/>
              </w:rPr>
            </w:pPr>
            <w:r w:rsidRPr="00715E24">
              <w:rPr>
                <w:sz w:val="20"/>
                <w:szCs w:val="20"/>
              </w:rPr>
              <w:t xml:space="preserve">Pages </w:t>
            </w:r>
            <w:r w:rsidRPr="00F44CAB">
              <w:rPr>
                <w:b/>
                <w:sz w:val="20"/>
                <w:szCs w:val="20"/>
              </w:rPr>
              <w:t>141-143</w:t>
            </w:r>
            <w:r w:rsidR="00474CB7" w:rsidRPr="00715E24">
              <w:rPr>
                <w:sz w:val="20"/>
                <w:szCs w:val="20"/>
              </w:rPr>
              <w:t xml:space="preserve">  (Hardback </w:t>
            </w:r>
            <w:r w:rsidR="004603BF" w:rsidRPr="00715E24">
              <w:t>147-150</w:t>
            </w:r>
            <w:r w:rsidR="00474CB7" w:rsidRPr="00715E24">
              <w:rPr>
                <w:sz w:val="20"/>
                <w:szCs w:val="20"/>
              </w:rPr>
              <w:t>)</w:t>
            </w:r>
          </w:p>
          <w:p w:rsidR="002C26EF" w:rsidRPr="002C26EF" w:rsidRDefault="002C26EF">
            <w:pPr>
              <w:rPr>
                <w:sz w:val="20"/>
                <w:szCs w:val="20"/>
              </w:rPr>
            </w:pPr>
            <w:r w:rsidRPr="00715E24">
              <w:rPr>
                <w:sz w:val="20"/>
                <w:szCs w:val="20"/>
              </w:rPr>
              <w:t>Draw a picture that represents the weather in this part of the chapter.</w:t>
            </w:r>
            <w:r w:rsidRPr="002C26EF">
              <w:rPr>
                <w:sz w:val="20"/>
                <w:szCs w:val="20"/>
              </w:rPr>
              <w:t xml:space="preserve"> </w:t>
            </w:r>
          </w:p>
        </w:tc>
      </w:tr>
      <w:tr w:rsidR="006B060B" w:rsidTr="006B060B">
        <w:tc>
          <w:tcPr>
            <w:tcW w:w="5508" w:type="dxa"/>
          </w:tcPr>
          <w:p w:rsidR="006B060B" w:rsidRPr="00715E24" w:rsidRDefault="006B060B">
            <w:pPr>
              <w:rPr>
                <w:sz w:val="20"/>
                <w:szCs w:val="20"/>
              </w:rPr>
            </w:pPr>
            <w:r w:rsidRPr="00715E24">
              <w:rPr>
                <w:sz w:val="20"/>
                <w:szCs w:val="20"/>
              </w:rPr>
              <w:t xml:space="preserve">Pages </w:t>
            </w:r>
            <w:r w:rsidRPr="00F44CAB">
              <w:rPr>
                <w:b/>
                <w:sz w:val="20"/>
                <w:szCs w:val="20"/>
              </w:rPr>
              <w:t>144-145</w:t>
            </w:r>
            <w:r w:rsidR="00474CB7" w:rsidRPr="00715E24">
              <w:rPr>
                <w:sz w:val="20"/>
                <w:szCs w:val="20"/>
              </w:rPr>
              <w:t xml:space="preserve">  (Hardback </w:t>
            </w:r>
            <w:r w:rsidR="004603BF" w:rsidRPr="00715E24">
              <w:t>150-153</w:t>
            </w:r>
            <w:r w:rsidR="00474CB7" w:rsidRPr="00715E24">
              <w:rPr>
                <w:sz w:val="20"/>
                <w:szCs w:val="20"/>
              </w:rPr>
              <w:t>)</w:t>
            </w:r>
          </w:p>
          <w:p w:rsidR="002C26EF" w:rsidRDefault="002C26EF">
            <w:pPr>
              <w:rPr>
                <w:sz w:val="20"/>
                <w:szCs w:val="20"/>
              </w:rPr>
            </w:pPr>
            <w:r w:rsidRPr="00715E24">
              <w:rPr>
                <w:sz w:val="20"/>
                <w:szCs w:val="20"/>
              </w:rPr>
              <w:t>Make a list of the words from the conversation through the intercom at “Mama Burger” that make it sound like a conversation between two soldiers.</w:t>
            </w: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Default="002C26EF">
            <w:pPr>
              <w:rPr>
                <w:sz w:val="20"/>
                <w:szCs w:val="20"/>
              </w:rPr>
            </w:pPr>
          </w:p>
          <w:p w:rsidR="002C26EF" w:rsidRPr="002C26EF" w:rsidRDefault="002C26EF">
            <w:pPr>
              <w:rPr>
                <w:sz w:val="20"/>
                <w:szCs w:val="20"/>
              </w:rPr>
            </w:pPr>
          </w:p>
        </w:tc>
        <w:tc>
          <w:tcPr>
            <w:tcW w:w="5508" w:type="dxa"/>
          </w:tcPr>
          <w:p w:rsidR="006B060B" w:rsidRPr="00715E24" w:rsidRDefault="006B060B" w:rsidP="002C26EF">
            <w:pPr>
              <w:rPr>
                <w:sz w:val="20"/>
                <w:szCs w:val="20"/>
              </w:rPr>
            </w:pPr>
            <w:r w:rsidRPr="00715E24">
              <w:rPr>
                <w:sz w:val="20"/>
                <w:szCs w:val="20"/>
              </w:rPr>
              <w:t xml:space="preserve">Pages </w:t>
            </w:r>
            <w:r w:rsidRPr="00F44CAB">
              <w:rPr>
                <w:b/>
                <w:sz w:val="20"/>
                <w:szCs w:val="20"/>
              </w:rPr>
              <w:t>146-14</w:t>
            </w:r>
            <w:r w:rsidR="002C26EF" w:rsidRPr="00F44CAB">
              <w:rPr>
                <w:b/>
                <w:sz w:val="20"/>
                <w:szCs w:val="20"/>
              </w:rPr>
              <w:t>8</w:t>
            </w:r>
            <w:r w:rsidR="00474CB7" w:rsidRPr="00715E24">
              <w:rPr>
                <w:sz w:val="20"/>
                <w:szCs w:val="20"/>
              </w:rPr>
              <w:t xml:space="preserve">  (Hardback </w:t>
            </w:r>
            <w:r w:rsidR="004603BF" w:rsidRPr="00715E24">
              <w:t>153-154</w:t>
            </w:r>
            <w:r w:rsidR="00474CB7" w:rsidRPr="00715E24">
              <w:rPr>
                <w:sz w:val="20"/>
                <w:szCs w:val="20"/>
              </w:rPr>
              <w:t>)</w:t>
            </w:r>
          </w:p>
          <w:p w:rsidR="002C26EF" w:rsidRPr="00715E24" w:rsidRDefault="002C26EF" w:rsidP="002C26EF">
            <w:pPr>
              <w:rPr>
                <w:sz w:val="20"/>
                <w:szCs w:val="20"/>
              </w:rPr>
            </w:pPr>
            <w:r w:rsidRPr="00715E24">
              <w:rPr>
                <w:sz w:val="20"/>
                <w:szCs w:val="20"/>
              </w:rPr>
              <w:t xml:space="preserve">Explain the significance of this quote as it applies to Norman </w:t>
            </w:r>
            <w:proofErr w:type="spellStart"/>
            <w:r w:rsidRPr="00715E24">
              <w:rPr>
                <w:sz w:val="20"/>
                <w:szCs w:val="20"/>
              </w:rPr>
              <w:t>Bowker</w:t>
            </w:r>
            <w:proofErr w:type="spellEnd"/>
            <w:r w:rsidRPr="00715E24">
              <w:rPr>
                <w:sz w:val="20"/>
                <w:szCs w:val="20"/>
              </w:rPr>
              <w:t>:</w:t>
            </w:r>
          </w:p>
          <w:p w:rsidR="002C26EF" w:rsidRPr="002C26EF" w:rsidRDefault="002C26EF" w:rsidP="002C26EF">
            <w:pPr>
              <w:rPr>
                <w:sz w:val="20"/>
                <w:szCs w:val="20"/>
              </w:rPr>
            </w:pPr>
            <w:r w:rsidRPr="00715E24">
              <w:rPr>
                <w:sz w:val="20"/>
                <w:szCs w:val="20"/>
              </w:rPr>
              <w:t xml:space="preserve">“He wished he could’ve explained some of this. How he had been braver than he ever thought possible, but how he had not been </w:t>
            </w:r>
            <w:proofErr w:type="gramStart"/>
            <w:r w:rsidRPr="00715E24">
              <w:rPr>
                <w:sz w:val="20"/>
                <w:szCs w:val="20"/>
              </w:rPr>
              <w:t>so</w:t>
            </w:r>
            <w:proofErr w:type="gramEnd"/>
            <w:r w:rsidRPr="00715E24">
              <w:rPr>
                <w:sz w:val="20"/>
                <w:szCs w:val="20"/>
              </w:rPr>
              <w:t xml:space="preserve"> brave as he wanted to be” (O’Brien, 147).</w:t>
            </w:r>
          </w:p>
        </w:tc>
      </w:tr>
    </w:tbl>
    <w:p w:rsidR="0076239E" w:rsidRDefault="0076239E"/>
    <w:p w:rsidR="00496A97" w:rsidRDefault="00496A97">
      <w:r>
        <w:t>Now read the chapter titled “Notes” silently to yourself.</w:t>
      </w:r>
    </w:p>
    <w:p w:rsidR="00496A97" w:rsidRDefault="00496A97">
      <w:r>
        <w:t>Write a brief, 3-5 sentence summary of this chapter:</w:t>
      </w:r>
    </w:p>
    <w:p w:rsidR="00496A97" w:rsidRDefault="00496A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A97" w:rsidRDefault="00496A97">
      <w:r>
        <w:t>Review the themes in the novel:</w:t>
      </w:r>
    </w:p>
    <w:p w:rsidR="00EA500E" w:rsidRPr="00EA500E" w:rsidRDefault="00EA500E" w:rsidP="00EA500E">
      <w:pPr>
        <w:widowControl w:val="0"/>
        <w:autoSpaceDE w:val="0"/>
        <w:autoSpaceDN w:val="0"/>
        <w:adjustRightInd w:val="0"/>
        <w:rPr>
          <w:rFonts w:cs="Times"/>
          <w:color w:val="1A1A1A"/>
        </w:rPr>
      </w:pPr>
      <w:r w:rsidRPr="00EA500E">
        <w:rPr>
          <w:rFonts w:cs="Times"/>
          <w:b/>
          <w:u w:val="single"/>
        </w:rPr>
        <w:t>Mortality and Death</w:t>
      </w:r>
      <w:r w:rsidRPr="00EA500E">
        <w:rPr>
          <w:rFonts w:cs="Times"/>
          <w:color w:val="535353"/>
        </w:rPr>
        <w:t xml:space="preserve"> - </w:t>
      </w:r>
      <w:r w:rsidRPr="00EA500E">
        <w:rPr>
          <w:rFonts w:cs="Times"/>
          <w:color w:val="1A1A1A"/>
        </w:rPr>
        <w:t xml:space="preserve">The threat, even expectation, of death hangs over all of the soldiers throughout the novel, and multiple deaths occur throughout the novel. The thoughts of the soldiers and the narrative itself circle around and around these </w:t>
      </w:r>
      <w:proofErr w:type="gramStart"/>
      <w:r w:rsidRPr="00EA500E">
        <w:rPr>
          <w:rFonts w:cs="Times"/>
          <w:color w:val="1A1A1A"/>
        </w:rPr>
        <w:t>soldiers</w:t>
      </w:r>
      <w:proofErr w:type="gramEnd"/>
      <w:r w:rsidRPr="00EA500E">
        <w:rPr>
          <w:rFonts w:cs="Times"/>
          <w:color w:val="1A1A1A"/>
        </w:rPr>
        <w:t xml:space="preserve"> deaths, trying and failing over and over to process and understand what happened, and showing how the deaths impact the thoughts and actions of the soldiers who remain both during and after the war.</w:t>
      </w:r>
    </w:p>
    <w:p w:rsidR="00EA500E" w:rsidRPr="00EA500E" w:rsidRDefault="00EA500E" w:rsidP="00EA500E">
      <w:pPr>
        <w:widowControl w:val="0"/>
        <w:autoSpaceDE w:val="0"/>
        <w:autoSpaceDN w:val="0"/>
        <w:adjustRightInd w:val="0"/>
        <w:rPr>
          <w:rFonts w:cs="Times"/>
          <w:color w:val="1A1A1A"/>
        </w:rPr>
      </w:pPr>
      <w:r w:rsidRPr="00EA500E">
        <w:rPr>
          <w:rFonts w:cs="Times"/>
          <w:b/>
          <w:u w:val="single"/>
        </w:rPr>
        <w:t>Social Obligation</w:t>
      </w:r>
      <w:r w:rsidRPr="00EA500E">
        <w:rPr>
          <w:rFonts w:cs="Times"/>
          <w:color w:val="535353"/>
        </w:rPr>
        <w:t xml:space="preserve"> - </w:t>
      </w:r>
      <w:r w:rsidRPr="00EA500E">
        <w:rPr>
          <w:rFonts w:cs="Times"/>
          <w:bCs/>
          <w:color w:val="1A1A1A"/>
        </w:rPr>
        <w:t>O'Brien</w:t>
      </w:r>
      <w:r w:rsidRPr="00EA500E">
        <w:rPr>
          <w:rFonts w:cs="Times"/>
          <w:color w:val="1A1A1A"/>
        </w:rPr>
        <w:t xml:space="preserve"> often focuses on how the men in his stories, even if they volunteered to fight, joined the army because of the unspoken pressure to fulfill their obligations as citizens and soldiers. These social obligations range from that of wider society (government, city/town) and narrows to the nuclear (family, friends, personal reflection).</w:t>
      </w:r>
    </w:p>
    <w:p w:rsidR="00496A97" w:rsidRDefault="00EA500E" w:rsidP="00EA500E">
      <w:pPr>
        <w:widowControl w:val="0"/>
        <w:autoSpaceDE w:val="0"/>
        <w:autoSpaceDN w:val="0"/>
        <w:adjustRightInd w:val="0"/>
        <w:rPr>
          <w:rFonts w:cs="Times"/>
          <w:color w:val="1A1A1A"/>
        </w:rPr>
      </w:pPr>
      <w:r w:rsidRPr="00EA500E">
        <w:rPr>
          <w:rFonts w:cs="Times"/>
          <w:b/>
          <w:u w:val="single"/>
        </w:rPr>
        <w:t>Storytelling and Memory</w:t>
      </w:r>
      <w:r w:rsidRPr="00EA500E">
        <w:rPr>
          <w:rFonts w:cs="Times"/>
          <w:color w:val="535353"/>
        </w:rPr>
        <w:t xml:space="preserve"> - </w:t>
      </w:r>
      <w:r w:rsidRPr="00EA500E">
        <w:rPr>
          <w:rFonts w:cs="Times"/>
          <w:color w:val="1A1A1A"/>
        </w:rPr>
        <w:t xml:space="preserve">Storytelling in </w:t>
      </w:r>
      <w:r w:rsidRPr="00EA500E">
        <w:rPr>
          <w:rFonts w:cs="Times"/>
          <w:i/>
          <w:iCs/>
          <w:color w:val="1A1A1A"/>
        </w:rPr>
        <w:t>The Things They Carried</w:t>
      </w:r>
      <w:r w:rsidRPr="00EA500E">
        <w:rPr>
          <w:rFonts w:cs="Times"/>
          <w:color w:val="1A1A1A"/>
        </w:rPr>
        <w:t xml:space="preserve"> operates on multiple levels: at the level of the book itself, the stories within stories, and the reflections on the value of these stories both in the context of the war and then post-war. The collection further explores the very role and purpose of "war stories," and how they can be told "correctly" and how to tell whether or not one is "true." The author clearly believes that stories have the power to give an entire life to those who have passed on.</w:t>
      </w:r>
    </w:p>
    <w:p w:rsidR="00EA500E" w:rsidRPr="00EA500E" w:rsidRDefault="00EA500E" w:rsidP="00EA500E">
      <w:pPr>
        <w:widowControl w:val="0"/>
        <w:autoSpaceDE w:val="0"/>
        <w:autoSpaceDN w:val="0"/>
        <w:adjustRightInd w:val="0"/>
        <w:rPr>
          <w:rFonts w:cs="Times"/>
        </w:rPr>
      </w:pPr>
    </w:p>
    <w:p w:rsidR="00496A97" w:rsidRDefault="00496A97">
      <w:r>
        <w:t>Of the three themes described here, which theme do you think most applies to the chapters “Speaking of Courage” and “Notes”? Explain your answer using specific details from the text to support your ideas.</w:t>
      </w:r>
    </w:p>
    <w:p w:rsidR="00F44CAB" w:rsidRPr="00F44CAB" w:rsidRDefault="00496A97">
      <w:pPr>
        <w:rPr>
          <w:b/>
        </w:rPr>
      </w:pPr>
      <w:r w:rsidRPr="00F44CA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4CAB" w:rsidRPr="00F44CAB">
        <w:rPr>
          <w:b/>
        </w:rPr>
        <w:br/>
      </w:r>
      <w:r w:rsidR="00F44CAB" w:rsidRPr="00F44CAB">
        <w:rPr>
          <w:b/>
        </w:rPr>
        <w:t>__________________________________________________________________________________________________</w:t>
      </w:r>
      <w:r w:rsidR="00F44CAB" w:rsidRPr="00F44CAB">
        <w:rPr>
          <w:b/>
        </w:rPr>
        <w:br/>
      </w:r>
      <w:r w:rsidR="00F44CAB" w:rsidRPr="00F44CAB">
        <w:rPr>
          <w:b/>
        </w:rPr>
        <w:t>__________________________________________________________________________________________________</w:t>
      </w:r>
      <w:r w:rsidR="00F44CAB">
        <w:rPr>
          <w:b/>
        </w:rPr>
        <w:br/>
      </w:r>
      <w:r w:rsidR="00F44CAB" w:rsidRPr="00F44CA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4CAB" w:rsidRPr="00F44CAB">
        <w:rPr>
          <w:b/>
        </w:rPr>
        <w:br/>
        <w:t>__________________________________________________________________________________________________</w:t>
      </w:r>
      <w:r w:rsidR="00F44CAB" w:rsidRPr="00F44CAB">
        <w:rPr>
          <w:b/>
        </w:rPr>
        <w:br/>
        <w:t>__________________________________________________________________________________________________</w:t>
      </w:r>
      <w:r w:rsidR="00F44CAB">
        <w:rPr>
          <w:b/>
        </w:rPr>
        <w:br/>
      </w:r>
      <w:r w:rsidR="00F44CAB" w:rsidRPr="00F44CAB">
        <w:rPr>
          <w:b/>
        </w:rPr>
        <w:t>__________________________________________________________________________________________________</w:t>
      </w:r>
      <w:r w:rsidR="00F44CAB" w:rsidRPr="00F44CAB">
        <w:rPr>
          <w:b/>
        </w:rPr>
        <w:br/>
      </w:r>
      <w:bookmarkStart w:id="0" w:name="_GoBack"/>
      <w:bookmarkEnd w:id="0"/>
    </w:p>
    <w:sectPr w:rsidR="00F44CAB" w:rsidRPr="00F44CAB" w:rsidSect="00A96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21"/>
    <w:rsid w:val="002C26EF"/>
    <w:rsid w:val="004603BF"/>
    <w:rsid w:val="00474CB7"/>
    <w:rsid w:val="00496A97"/>
    <w:rsid w:val="004E6D88"/>
    <w:rsid w:val="006B060B"/>
    <w:rsid w:val="00715E24"/>
    <w:rsid w:val="0076239E"/>
    <w:rsid w:val="00A96F21"/>
    <w:rsid w:val="00D9059C"/>
    <w:rsid w:val="00E13132"/>
    <w:rsid w:val="00E91ED4"/>
    <w:rsid w:val="00EA500E"/>
    <w:rsid w:val="00EB0E38"/>
    <w:rsid w:val="00F4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3E1A2-0E06-42C2-8602-78A47626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Lorraine Arvizo</cp:lastModifiedBy>
  <cp:revision>2</cp:revision>
  <cp:lastPrinted>2015-09-22T23:41:00Z</cp:lastPrinted>
  <dcterms:created xsi:type="dcterms:W3CDTF">2015-09-22T23:54:00Z</dcterms:created>
  <dcterms:modified xsi:type="dcterms:W3CDTF">2015-09-22T23:54:00Z</dcterms:modified>
</cp:coreProperties>
</file>